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C43A0" w14:textId="6B8FCF34" w:rsidR="00C35BEC" w:rsidRPr="00143EC4" w:rsidRDefault="00F6782D" w:rsidP="00F6782D">
      <w:pPr>
        <w:pStyle w:val="Tytu"/>
        <w:spacing w:line="360" w:lineRule="auto"/>
        <w:jc w:val="center"/>
        <w:rPr>
          <w:rFonts w:ascii="Tahoma" w:hAnsi="Tahoma" w:cs="Tahoma"/>
          <w:b/>
          <w:sz w:val="28"/>
          <w:szCs w:val="28"/>
        </w:rPr>
      </w:pPr>
      <w:r w:rsidRPr="00143EC4">
        <w:rPr>
          <w:rFonts w:ascii="Tahoma" w:hAnsi="Tahoma" w:cs="Tahoma"/>
          <w:b/>
          <w:sz w:val="28"/>
          <w:szCs w:val="28"/>
        </w:rPr>
        <w:t>REKOMENDACJE ZBIORCZE KON</w:t>
      </w:r>
      <w:r w:rsidR="00904DDB" w:rsidRPr="00143EC4">
        <w:rPr>
          <w:rFonts w:ascii="Tahoma" w:hAnsi="Tahoma" w:cs="Tahoma"/>
          <w:b/>
          <w:sz w:val="28"/>
          <w:szCs w:val="28"/>
        </w:rPr>
        <w:t>FE</w:t>
      </w:r>
      <w:r w:rsidRPr="00143EC4">
        <w:rPr>
          <w:rFonts w:ascii="Tahoma" w:hAnsi="Tahoma" w:cs="Tahoma"/>
          <w:b/>
          <w:sz w:val="28"/>
          <w:szCs w:val="28"/>
        </w:rPr>
        <w:t>RENCJA „WS</w:t>
      </w:r>
      <w:r w:rsidR="00642FA5">
        <w:rPr>
          <w:rFonts w:ascii="Tahoma" w:hAnsi="Tahoma" w:cs="Tahoma"/>
          <w:b/>
          <w:sz w:val="28"/>
          <w:szCs w:val="28"/>
        </w:rPr>
        <w:t>PÓLNIE DLA ZDROWIA” – GDAŃSK, 28</w:t>
      </w:r>
      <w:bookmarkStart w:id="0" w:name="_GoBack"/>
      <w:bookmarkEnd w:id="0"/>
      <w:r w:rsidRPr="00143EC4">
        <w:rPr>
          <w:rFonts w:ascii="Tahoma" w:hAnsi="Tahoma" w:cs="Tahoma"/>
          <w:b/>
          <w:sz w:val="28"/>
          <w:szCs w:val="28"/>
        </w:rPr>
        <w:t>.02.2019</w:t>
      </w:r>
    </w:p>
    <w:p w14:paraId="493B3C7F" w14:textId="77777777" w:rsidR="00F6782D" w:rsidRDefault="00F6782D" w:rsidP="00F51C8D">
      <w:pPr>
        <w:pStyle w:val="Tytu"/>
        <w:spacing w:line="360" w:lineRule="auto"/>
        <w:jc w:val="both"/>
        <w:rPr>
          <w:rFonts w:ascii="Tahoma" w:hAnsi="Tahoma" w:cs="Tahoma"/>
          <w:color w:val="365F91" w:themeColor="accent1" w:themeShade="BF"/>
          <w:sz w:val="28"/>
          <w:szCs w:val="28"/>
        </w:rPr>
      </w:pPr>
    </w:p>
    <w:p w14:paraId="008CB925" w14:textId="77777777" w:rsidR="005443D7" w:rsidRPr="00492F7A" w:rsidRDefault="00347103" w:rsidP="00492F7A">
      <w:pPr>
        <w:pStyle w:val="Tytu"/>
        <w:numPr>
          <w:ilvl w:val="0"/>
          <w:numId w:val="17"/>
        </w:numPr>
        <w:spacing w:line="276" w:lineRule="auto"/>
        <w:jc w:val="both"/>
        <w:rPr>
          <w:rFonts w:asciiTheme="minorHAnsi" w:hAnsiTheme="minorHAnsi" w:cstheme="minorHAnsi"/>
          <w:color w:val="365F91" w:themeColor="accent1" w:themeShade="BF"/>
          <w:sz w:val="24"/>
          <w:szCs w:val="24"/>
        </w:rPr>
      </w:pPr>
      <w:r w:rsidRPr="00492F7A">
        <w:rPr>
          <w:rFonts w:asciiTheme="minorHAnsi" w:hAnsiTheme="minorHAnsi" w:cstheme="minorHAnsi"/>
          <w:color w:val="365F91" w:themeColor="accent1" w:themeShade="BF"/>
          <w:sz w:val="24"/>
          <w:szCs w:val="24"/>
        </w:rPr>
        <w:t xml:space="preserve">SKUTECZNOŚĆ </w:t>
      </w:r>
      <w:r w:rsidR="00A17896" w:rsidRPr="00492F7A">
        <w:rPr>
          <w:rFonts w:asciiTheme="minorHAnsi" w:hAnsiTheme="minorHAnsi" w:cstheme="minorHAnsi"/>
          <w:color w:val="365F91" w:themeColor="accent1" w:themeShade="BF"/>
          <w:sz w:val="24"/>
          <w:szCs w:val="24"/>
        </w:rPr>
        <w:t xml:space="preserve">LECZENIA </w:t>
      </w:r>
      <w:r w:rsidRPr="00492F7A">
        <w:rPr>
          <w:rFonts w:asciiTheme="minorHAnsi" w:hAnsiTheme="minorHAnsi" w:cstheme="minorHAnsi"/>
          <w:color w:val="365F91" w:themeColor="accent1" w:themeShade="BF"/>
          <w:sz w:val="24"/>
          <w:szCs w:val="24"/>
        </w:rPr>
        <w:t xml:space="preserve">I BEZPIECZEŃSTWO PACJENTA </w:t>
      </w:r>
    </w:p>
    <w:p w14:paraId="31A76E39" w14:textId="77777777" w:rsidR="005443D7" w:rsidRPr="00492F7A" w:rsidRDefault="005443D7" w:rsidP="00492F7A">
      <w:pPr>
        <w:pStyle w:val="Akapitzlist"/>
        <w:keepNext/>
        <w:keepLines/>
        <w:numPr>
          <w:ilvl w:val="0"/>
          <w:numId w:val="18"/>
        </w:numPr>
        <w:spacing w:before="240" w:after="0"/>
        <w:jc w:val="both"/>
        <w:outlineLvl w:val="0"/>
        <w:rPr>
          <w:rFonts w:eastAsiaTheme="majorEastAsia" w:cstheme="minorHAnsi"/>
          <w:b/>
          <w:color w:val="365F91" w:themeColor="accent1" w:themeShade="BF"/>
          <w:sz w:val="24"/>
          <w:szCs w:val="24"/>
          <w:lang w:eastAsia="pl-PL"/>
        </w:rPr>
      </w:pPr>
      <w:r w:rsidRPr="00492F7A">
        <w:rPr>
          <w:rFonts w:eastAsiaTheme="majorEastAsia" w:cstheme="minorHAnsi"/>
          <w:b/>
          <w:color w:val="365F91" w:themeColor="accent1" w:themeShade="BF"/>
          <w:sz w:val="24"/>
          <w:szCs w:val="24"/>
          <w:lang w:eastAsia="pl-PL"/>
        </w:rPr>
        <w:t>Rekomendacje dotyczące monitorowania skuteczności leczenia:</w:t>
      </w:r>
    </w:p>
    <w:p w14:paraId="7F3C59DF" w14:textId="77777777" w:rsidR="005443D7" w:rsidRPr="00492F7A" w:rsidRDefault="005443D7" w:rsidP="00492F7A">
      <w:pPr>
        <w:spacing w:after="0"/>
        <w:jc w:val="both"/>
        <w:rPr>
          <w:rFonts w:eastAsia="Times New Roman" w:cstheme="minorHAnsi"/>
          <w:sz w:val="24"/>
          <w:szCs w:val="24"/>
          <w:lang w:eastAsia="pl-PL"/>
        </w:rPr>
      </w:pPr>
    </w:p>
    <w:p w14:paraId="4950AB32" w14:textId="77777777" w:rsidR="005443D7" w:rsidRPr="00492F7A" w:rsidRDefault="005443D7" w:rsidP="00492F7A">
      <w:pPr>
        <w:spacing w:after="0"/>
        <w:jc w:val="both"/>
        <w:rPr>
          <w:rFonts w:eastAsia="Times New Roman" w:cstheme="minorHAnsi"/>
          <w:sz w:val="24"/>
          <w:szCs w:val="24"/>
          <w:lang w:eastAsia="pl-PL"/>
        </w:rPr>
      </w:pPr>
      <w:r w:rsidRPr="00492F7A">
        <w:rPr>
          <w:rFonts w:eastAsia="Times New Roman" w:cstheme="minorHAnsi"/>
          <w:sz w:val="24"/>
          <w:szCs w:val="24"/>
          <w:lang w:eastAsia="pl-PL"/>
        </w:rPr>
        <w:t>Uwzględniając iż:</w:t>
      </w:r>
    </w:p>
    <w:p w14:paraId="36C4840B" w14:textId="74F47837" w:rsidR="005443D7" w:rsidRPr="00492F7A" w:rsidRDefault="005443D7" w:rsidP="00492F7A">
      <w:pPr>
        <w:numPr>
          <w:ilvl w:val="0"/>
          <w:numId w:val="19"/>
        </w:numPr>
        <w:spacing w:after="0"/>
        <w:contextualSpacing/>
        <w:jc w:val="both"/>
        <w:rPr>
          <w:rFonts w:eastAsia="Times New Roman" w:cstheme="minorHAnsi"/>
          <w:sz w:val="24"/>
          <w:szCs w:val="24"/>
          <w:lang w:eastAsia="pl-PL"/>
        </w:rPr>
      </w:pPr>
      <w:r w:rsidRPr="00492F7A">
        <w:rPr>
          <w:rFonts w:eastAsia="Times New Roman" w:cstheme="minorHAnsi"/>
          <w:sz w:val="24"/>
          <w:szCs w:val="24"/>
          <w:lang w:eastAsia="pl-PL"/>
        </w:rPr>
        <w:t xml:space="preserve">głównym oczekiwaniem pacjentów jest uzyskanie skutecznej pomocy w </w:t>
      </w:r>
      <w:r w:rsidR="00AF1422" w:rsidRPr="00492F7A">
        <w:rPr>
          <w:rFonts w:eastAsia="Times New Roman" w:cstheme="minorHAnsi"/>
          <w:sz w:val="24"/>
          <w:szCs w:val="24"/>
          <w:lang w:eastAsia="pl-PL"/>
        </w:rPr>
        <w:t>stanach zagrożenia życia i zdrowia</w:t>
      </w:r>
      <w:r w:rsidRPr="00492F7A">
        <w:rPr>
          <w:rFonts w:eastAsia="Times New Roman" w:cstheme="minorHAnsi"/>
          <w:sz w:val="24"/>
          <w:szCs w:val="24"/>
          <w:lang w:eastAsia="pl-PL"/>
        </w:rPr>
        <w:t>, skuteczne</w:t>
      </w:r>
      <w:r w:rsidR="00AF1422" w:rsidRPr="00492F7A">
        <w:rPr>
          <w:rFonts w:eastAsia="Times New Roman" w:cstheme="minorHAnsi"/>
          <w:sz w:val="24"/>
          <w:szCs w:val="24"/>
          <w:lang w:eastAsia="pl-PL"/>
        </w:rPr>
        <w:t>j diagnostyki i</w:t>
      </w:r>
      <w:r w:rsidRPr="00492F7A">
        <w:rPr>
          <w:rFonts w:eastAsia="Times New Roman" w:cstheme="minorHAnsi"/>
          <w:sz w:val="24"/>
          <w:szCs w:val="24"/>
          <w:lang w:eastAsia="pl-PL"/>
        </w:rPr>
        <w:t xml:space="preserve"> leczenia </w:t>
      </w:r>
      <w:r w:rsidR="00AF1422" w:rsidRPr="00492F7A">
        <w:rPr>
          <w:rFonts w:eastAsia="Times New Roman" w:cstheme="minorHAnsi"/>
          <w:sz w:val="24"/>
          <w:szCs w:val="24"/>
          <w:lang w:eastAsia="pl-PL"/>
        </w:rPr>
        <w:t>i/</w:t>
      </w:r>
      <w:r w:rsidRPr="00492F7A">
        <w:rPr>
          <w:rFonts w:eastAsia="Times New Roman" w:cstheme="minorHAnsi"/>
          <w:sz w:val="24"/>
          <w:szCs w:val="24"/>
          <w:lang w:eastAsia="pl-PL"/>
        </w:rPr>
        <w:t xml:space="preserve">lub skutecznej </w:t>
      </w:r>
      <w:r w:rsidR="00AF1422" w:rsidRPr="00492F7A">
        <w:rPr>
          <w:rFonts w:eastAsia="Times New Roman" w:cstheme="minorHAnsi"/>
          <w:sz w:val="24"/>
          <w:szCs w:val="24"/>
          <w:lang w:eastAsia="pl-PL"/>
        </w:rPr>
        <w:t>poprawy jakości życia</w:t>
      </w:r>
      <w:r w:rsidRPr="00492F7A">
        <w:rPr>
          <w:rFonts w:eastAsia="Times New Roman" w:cstheme="minorHAnsi"/>
          <w:sz w:val="24"/>
          <w:szCs w:val="24"/>
          <w:lang w:eastAsia="pl-PL"/>
        </w:rPr>
        <w:t xml:space="preserve">, </w:t>
      </w:r>
    </w:p>
    <w:p w14:paraId="2C0A5C89" w14:textId="61B4CB04" w:rsidR="005443D7" w:rsidRPr="00492F7A" w:rsidRDefault="005443D7" w:rsidP="00492F7A">
      <w:pPr>
        <w:numPr>
          <w:ilvl w:val="0"/>
          <w:numId w:val="19"/>
        </w:numPr>
        <w:spacing w:after="0"/>
        <w:contextualSpacing/>
        <w:jc w:val="both"/>
        <w:rPr>
          <w:rFonts w:eastAsia="Times New Roman" w:cstheme="minorHAnsi"/>
          <w:sz w:val="24"/>
          <w:szCs w:val="24"/>
          <w:lang w:eastAsia="pl-PL"/>
        </w:rPr>
      </w:pPr>
      <w:r w:rsidRPr="00492F7A">
        <w:rPr>
          <w:rFonts w:eastAsia="Times New Roman" w:cstheme="minorHAnsi"/>
          <w:sz w:val="24"/>
          <w:szCs w:val="24"/>
          <w:lang w:eastAsia="pl-PL"/>
        </w:rPr>
        <w:t xml:space="preserve">podstawą wiarygodnej oceny skuteczności jest </w:t>
      </w:r>
      <w:r w:rsidR="00AF1422" w:rsidRPr="00492F7A">
        <w:rPr>
          <w:rFonts w:eastAsia="Times New Roman" w:cstheme="minorHAnsi"/>
          <w:sz w:val="24"/>
          <w:szCs w:val="24"/>
          <w:lang w:eastAsia="pl-PL"/>
        </w:rPr>
        <w:t xml:space="preserve">stałe </w:t>
      </w:r>
      <w:r w:rsidRPr="00492F7A">
        <w:rPr>
          <w:rFonts w:eastAsia="Times New Roman" w:cstheme="minorHAnsi"/>
          <w:sz w:val="24"/>
          <w:szCs w:val="24"/>
          <w:lang w:eastAsia="pl-PL"/>
        </w:rPr>
        <w:t>monitorowanie wskaźników uzyskiwanych wyników leczenia, a dla poprawy skuteczności kluczowe znaczenie ma odnoszenie oceny do poszczególnych świadczeniodawców</w:t>
      </w:r>
      <w:r w:rsidR="00F6782D" w:rsidRPr="00492F7A">
        <w:rPr>
          <w:rFonts w:eastAsia="Times New Roman" w:cstheme="minorHAnsi"/>
          <w:sz w:val="24"/>
          <w:szCs w:val="24"/>
          <w:lang w:eastAsia="pl-PL"/>
        </w:rPr>
        <w:t xml:space="preserve"> (</w:t>
      </w:r>
      <w:proofErr w:type="spellStart"/>
      <w:r w:rsidR="00F6782D" w:rsidRPr="00492F7A">
        <w:rPr>
          <w:rFonts w:eastAsia="Times New Roman" w:cstheme="minorHAnsi"/>
          <w:i/>
          <w:sz w:val="24"/>
          <w:szCs w:val="24"/>
          <w:lang w:eastAsia="pl-PL"/>
        </w:rPr>
        <w:t>benchmarking</w:t>
      </w:r>
      <w:proofErr w:type="spellEnd"/>
      <w:r w:rsidR="00F6782D" w:rsidRPr="00492F7A">
        <w:rPr>
          <w:rFonts w:eastAsia="Times New Roman" w:cstheme="minorHAnsi"/>
          <w:sz w:val="24"/>
          <w:szCs w:val="24"/>
          <w:lang w:eastAsia="pl-PL"/>
        </w:rPr>
        <w:t>)</w:t>
      </w:r>
      <w:r w:rsidRPr="00492F7A">
        <w:rPr>
          <w:rFonts w:eastAsia="Times New Roman" w:cstheme="minorHAnsi"/>
          <w:sz w:val="24"/>
          <w:szCs w:val="24"/>
          <w:lang w:eastAsia="pl-PL"/>
        </w:rPr>
        <w:t>,</w:t>
      </w:r>
    </w:p>
    <w:p w14:paraId="248CB2A3" w14:textId="3955B1CF" w:rsidR="005443D7" w:rsidRPr="00492F7A" w:rsidRDefault="005443D7" w:rsidP="00492F7A">
      <w:pPr>
        <w:numPr>
          <w:ilvl w:val="0"/>
          <w:numId w:val="19"/>
        </w:numPr>
        <w:spacing w:after="0"/>
        <w:contextualSpacing/>
        <w:jc w:val="both"/>
        <w:rPr>
          <w:rFonts w:eastAsia="Times New Roman" w:cstheme="minorHAnsi"/>
          <w:sz w:val="24"/>
          <w:szCs w:val="24"/>
          <w:lang w:eastAsia="pl-PL"/>
        </w:rPr>
      </w:pPr>
      <w:r w:rsidRPr="00492F7A">
        <w:rPr>
          <w:rFonts w:eastAsia="Times New Roman" w:cstheme="minorHAnsi"/>
          <w:sz w:val="24"/>
          <w:szCs w:val="24"/>
          <w:lang w:eastAsia="pl-PL"/>
        </w:rPr>
        <w:t>monitorowanie wskaźników wyniku leczenia jest</w:t>
      </w:r>
      <w:r w:rsidR="00AF1422" w:rsidRPr="00492F7A">
        <w:rPr>
          <w:rFonts w:eastAsia="Times New Roman" w:cstheme="minorHAnsi"/>
          <w:sz w:val="24"/>
          <w:szCs w:val="24"/>
          <w:lang w:eastAsia="pl-PL"/>
        </w:rPr>
        <w:t>,</w:t>
      </w:r>
      <w:r w:rsidRPr="00492F7A">
        <w:rPr>
          <w:rFonts w:eastAsia="Times New Roman" w:cstheme="minorHAnsi"/>
          <w:sz w:val="24"/>
          <w:szCs w:val="24"/>
          <w:lang w:eastAsia="pl-PL"/>
        </w:rPr>
        <w:t xml:space="preserve"> obok oceny spełniania standardów postępowania</w:t>
      </w:r>
      <w:r w:rsidR="00F6782D" w:rsidRPr="00492F7A">
        <w:rPr>
          <w:rFonts w:eastAsia="Times New Roman" w:cstheme="minorHAnsi"/>
          <w:sz w:val="24"/>
          <w:szCs w:val="24"/>
          <w:lang w:eastAsia="pl-PL"/>
        </w:rPr>
        <w:t xml:space="preserve"> czy</w:t>
      </w:r>
      <w:r w:rsidRPr="00492F7A">
        <w:rPr>
          <w:rFonts w:eastAsia="Times New Roman" w:cstheme="minorHAnsi"/>
          <w:sz w:val="24"/>
          <w:szCs w:val="24"/>
          <w:lang w:eastAsia="pl-PL"/>
        </w:rPr>
        <w:t xml:space="preserve"> standardów ak</w:t>
      </w:r>
      <w:r w:rsidR="00F6782D" w:rsidRPr="00492F7A">
        <w:rPr>
          <w:rFonts w:eastAsia="Times New Roman" w:cstheme="minorHAnsi"/>
          <w:sz w:val="24"/>
          <w:szCs w:val="24"/>
          <w:lang w:eastAsia="pl-PL"/>
        </w:rPr>
        <w:t>redytacyjnych</w:t>
      </w:r>
      <w:r w:rsidR="00AF1422" w:rsidRPr="00492F7A">
        <w:rPr>
          <w:rFonts w:eastAsia="Times New Roman" w:cstheme="minorHAnsi"/>
          <w:sz w:val="24"/>
          <w:szCs w:val="24"/>
          <w:lang w:eastAsia="pl-PL"/>
        </w:rPr>
        <w:t>,</w:t>
      </w:r>
      <w:r w:rsidR="00F6782D" w:rsidRPr="00492F7A">
        <w:rPr>
          <w:rFonts w:eastAsia="Times New Roman" w:cstheme="minorHAnsi"/>
          <w:sz w:val="24"/>
          <w:szCs w:val="24"/>
          <w:lang w:eastAsia="pl-PL"/>
        </w:rPr>
        <w:t xml:space="preserve"> podstawową metodą</w:t>
      </w:r>
      <w:r w:rsidRPr="00492F7A">
        <w:rPr>
          <w:rFonts w:eastAsia="Times New Roman" w:cstheme="minorHAnsi"/>
          <w:sz w:val="24"/>
          <w:szCs w:val="24"/>
          <w:lang w:eastAsia="pl-PL"/>
        </w:rPr>
        <w:t xml:space="preserve"> oceny jakości opieki zdrowotnej,</w:t>
      </w:r>
    </w:p>
    <w:p w14:paraId="44ADD9E7" w14:textId="4D6D7740" w:rsidR="005443D7" w:rsidRPr="00492F7A" w:rsidRDefault="00AF1422" w:rsidP="00492F7A">
      <w:pPr>
        <w:numPr>
          <w:ilvl w:val="0"/>
          <w:numId w:val="19"/>
        </w:numPr>
        <w:spacing w:after="0"/>
        <w:contextualSpacing/>
        <w:jc w:val="both"/>
        <w:rPr>
          <w:rFonts w:eastAsia="Times New Roman" w:cstheme="minorHAnsi"/>
          <w:sz w:val="24"/>
          <w:szCs w:val="24"/>
          <w:lang w:eastAsia="pl-PL"/>
        </w:rPr>
      </w:pPr>
      <w:r w:rsidRPr="00492F7A">
        <w:rPr>
          <w:rFonts w:eastAsia="Times New Roman" w:cstheme="minorHAnsi"/>
          <w:sz w:val="24"/>
          <w:szCs w:val="24"/>
          <w:lang w:eastAsia="pl-PL"/>
        </w:rPr>
        <w:t xml:space="preserve">najlepszym źródłem wiarygodnych danych są dedykowane rejestry kliniczne (bazy danych gromadzące dane indywidualnych pacjentów), </w:t>
      </w:r>
      <w:r w:rsidR="005443D7" w:rsidRPr="00492F7A">
        <w:rPr>
          <w:rFonts w:eastAsia="Times New Roman" w:cstheme="minorHAnsi"/>
          <w:sz w:val="24"/>
          <w:szCs w:val="24"/>
          <w:lang w:eastAsia="pl-PL"/>
        </w:rPr>
        <w:t xml:space="preserve">chociaż </w:t>
      </w:r>
      <w:r w:rsidRPr="00492F7A">
        <w:rPr>
          <w:rFonts w:eastAsia="Times New Roman" w:cstheme="minorHAnsi"/>
          <w:sz w:val="24"/>
          <w:szCs w:val="24"/>
          <w:lang w:eastAsia="pl-PL"/>
        </w:rPr>
        <w:t xml:space="preserve">należy też pamiętać, że </w:t>
      </w:r>
      <w:r w:rsidR="005443D7" w:rsidRPr="00492F7A">
        <w:rPr>
          <w:rFonts w:eastAsia="Times New Roman" w:cstheme="minorHAnsi"/>
          <w:sz w:val="24"/>
          <w:szCs w:val="24"/>
          <w:lang w:eastAsia="pl-PL"/>
        </w:rPr>
        <w:t>wskaźniki wyniku leczenia mogą być samo-raportowane przez świadczeniodawców</w:t>
      </w:r>
      <w:r w:rsidRPr="00492F7A">
        <w:rPr>
          <w:rFonts w:eastAsia="Times New Roman" w:cstheme="minorHAnsi"/>
          <w:sz w:val="24"/>
          <w:szCs w:val="24"/>
          <w:lang w:eastAsia="pl-PL"/>
        </w:rPr>
        <w:t>, pacjentów</w:t>
      </w:r>
      <w:r w:rsidR="005443D7" w:rsidRPr="00492F7A">
        <w:rPr>
          <w:rFonts w:eastAsia="Times New Roman" w:cstheme="minorHAnsi"/>
          <w:sz w:val="24"/>
          <w:szCs w:val="24"/>
          <w:lang w:eastAsia="pl-PL"/>
        </w:rPr>
        <w:t xml:space="preserve"> lub być obliczan</w:t>
      </w:r>
      <w:r w:rsidR="00F51C8D" w:rsidRPr="00492F7A">
        <w:rPr>
          <w:rFonts w:eastAsia="Times New Roman" w:cstheme="minorHAnsi"/>
          <w:sz w:val="24"/>
          <w:szCs w:val="24"/>
          <w:lang w:eastAsia="pl-PL"/>
        </w:rPr>
        <w:t>e</w:t>
      </w:r>
      <w:r w:rsidR="005443D7" w:rsidRPr="00492F7A">
        <w:rPr>
          <w:rFonts w:eastAsia="Times New Roman" w:cstheme="minorHAnsi"/>
          <w:sz w:val="24"/>
          <w:szCs w:val="24"/>
          <w:lang w:eastAsia="pl-PL"/>
        </w:rPr>
        <w:t xml:space="preserve"> w oparciu o dane sprawozdawane płatnikowi</w:t>
      </w:r>
      <w:r w:rsidR="00F51C8D" w:rsidRPr="00492F7A">
        <w:rPr>
          <w:rFonts w:eastAsia="Times New Roman" w:cstheme="minorHAnsi"/>
          <w:sz w:val="24"/>
          <w:szCs w:val="24"/>
          <w:lang w:eastAsia="pl-PL"/>
        </w:rPr>
        <w:t>,</w:t>
      </w:r>
      <w:r w:rsidR="005443D7" w:rsidRPr="00492F7A">
        <w:rPr>
          <w:rFonts w:eastAsia="Times New Roman" w:cstheme="minorHAnsi"/>
          <w:sz w:val="24"/>
          <w:szCs w:val="24"/>
          <w:lang w:eastAsia="pl-PL"/>
        </w:rPr>
        <w:t xml:space="preserve"> to</w:t>
      </w:r>
      <w:r w:rsidR="00F51C8D" w:rsidRPr="00492F7A">
        <w:rPr>
          <w:rFonts w:eastAsia="Times New Roman" w:cstheme="minorHAnsi"/>
          <w:sz w:val="24"/>
          <w:szCs w:val="24"/>
          <w:lang w:eastAsia="pl-PL"/>
        </w:rPr>
        <w:t>,</w:t>
      </w:r>
      <w:r w:rsidR="005443D7" w:rsidRPr="00492F7A">
        <w:rPr>
          <w:rFonts w:eastAsia="Times New Roman" w:cstheme="minorHAnsi"/>
          <w:sz w:val="24"/>
          <w:szCs w:val="24"/>
          <w:lang w:eastAsia="pl-PL"/>
        </w:rPr>
        <w:t xml:space="preserve"> </w:t>
      </w:r>
    </w:p>
    <w:p w14:paraId="6D531237" w14:textId="2FCDB0F9" w:rsidR="005443D7" w:rsidRPr="00492F7A" w:rsidRDefault="00AF1422" w:rsidP="00492F7A">
      <w:pPr>
        <w:spacing w:after="0"/>
        <w:jc w:val="both"/>
        <w:rPr>
          <w:rFonts w:eastAsia="Times New Roman" w:cstheme="minorHAnsi"/>
          <w:sz w:val="24"/>
          <w:szCs w:val="24"/>
          <w:lang w:eastAsia="pl-PL"/>
        </w:rPr>
      </w:pPr>
      <w:r w:rsidRPr="00492F7A">
        <w:rPr>
          <w:rFonts w:eastAsia="Times New Roman" w:cstheme="minorHAnsi"/>
          <w:b/>
          <w:sz w:val="24"/>
          <w:szCs w:val="24"/>
          <w:lang w:eastAsia="pl-PL"/>
        </w:rPr>
        <w:t>k</w:t>
      </w:r>
      <w:r w:rsidR="005443D7" w:rsidRPr="00492F7A">
        <w:rPr>
          <w:rFonts w:eastAsia="Times New Roman" w:cstheme="minorHAnsi"/>
          <w:b/>
          <w:sz w:val="24"/>
          <w:szCs w:val="24"/>
          <w:lang w:eastAsia="pl-PL"/>
        </w:rPr>
        <w:t xml:space="preserve">onieczne jest pilne </w:t>
      </w:r>
      <w:r w:rsidRPr="00492F7A">
        <w:rPr>
          <w:rFonts w:eastAsia="Times New Roman" w:cstheme="minorHAnsi"/>
          <w:b/>
          <w:sz w:val="24"/>
          <w:szCs w:val="24"/>
          <w:lang w:eastAsia="pl-PL"/>
        </w:rPr>
        <w:t>u</w:t>
      </w:r>
      <w:r w:rsidR="005443D7" w:rsidRPr="00492F7A">
        <w:rPr>
          <w:rFonts w:eastAsia="Times New Roman" w:cstheme="minorHAnsi"/>
          <w:b/>
          <w:sz w:val="24"/>
          <w:szCs w:val="24"/>
          <w:lang w:eastAsia="pl-PL"/>
        </w:rPr>
        <w:t xml:space="preserve">tworzenie w Polsce, na wzór </w:t>
      </w:r>
      <w:r w:rsidR="00F6782D" w:rsidRPr="00492F7A">
        <w:rPr>
          <w:rFonts w:eastAsia="Times New Roman" w:cstheme="minorHAnsi"/>
          <w:b/>
          <w:sz w:val="24"/>
          <w:szCs w:val="24"/>
          <w:lang w:eastAsia="pl-PL"/>
        </w:rPr>
        <w:t xml:space="preserve">zagraniczny </w:t>
      </w:r>
      <w:r w:rsidR="005443D7" w:rsidRPr="00492F7A">
        <w:rPr>
          <w:rFonts w:eastAsia="Times New Roman" w:cstheme="minorHAnsi"/>
          <w:b/>
          <w:sz w:val="24"/>
          <w:szCs w:val="24"/>
          <w:lang w:eastAsia="pl-PL"/>
        </w:rPr>
        <w:t xml:space="preserve">systemu rejestrów </w:t>
      </w:r>
      <w:r w:rsidR="00143EC4">
        <w:rPr>
          <w:rFonts w:eastAsia="Times New Roman" w:cstheme="minorHAnsi"/>
          <w:b/>
          <w:sz w:val="24"/>
          <w:szCs w:val="24"/>
          <w:lang w:eastAsia="pl-PL"/>
        </w:rPr>
        <w:t>kontraktowych/</w:t>
      </w:r>
      <w:r w:rsidR="005443D7" w:rsidRPr="00492F7A">
        <w:rPr>
          <w:rFonts w:eastAsia="Times New Roman" w:cstheme="minorHAnsi"/>
          <w:b/>
          <w:sz w:val="24"/>
          <w:szCs w:val="24"/>
          <w:lang w:eastAsia="pl-PL"/>
        </w:rPr>
        <w:t>klinicznych dedykowanych ocenie i poprawie jakości leczenia</w:t>
      </w:r>
      <w:r w:rsidR="005443D7" w:rsidRPr="00492F7A">
        <w:rPr>
          <w:rFonts w:eastAsia="Times New Roman" w:cstheme="minorHAnsi"/>
          <w:sz w:val="24"/>
          <w:szCs w:val="24"/>
          <w:lang w:eastAsia="pl-PL"/>
        </w:rPr>
        <w:t>.</w:t>
      </w:r>
    </w:p>
    <w:p w14:paraId="5F07CC08" w14:textId="4B809152" w:rsidR="00280304" w:rsidRPr="00492F7A" w:rsidRDefault="00280304" w:rsidP="00492F7A">
      <w:pPr>
        <w:spacing w:after="0"/>
        <w:contextualSpacing/>
        <w:jc w:val="both"/>
        <w:rPr>
          <w:rFonts w:eastAsia="Times New Roman" w:cstheme="minorHAnsi"/>
          <w:b/>
          <w:sz w:val="24"/>
          <w:szCs w:val="24"/>
          <w:lang w:eastAsia="pl-PL"/>
        </w:rPr>
      </w:pPr>
      <w:r w:rsidRPr="00492F7A">
        <w:rPr>
          <w:rFonts w:eastAsia="Times New Roman" w:cstheme="minorHAnsi"/>
          <w:b/>
          <w:sz w:val="24"/>
          <w:szCs w:val="24"/>
          <w:lang w:eastAsia="pl-PL"/>
        </w:rPr>
        <w:t>Informacje pozy</w:t>
      </w:r>
      <w:r w:rsidR="00143EC4">
        <w:rPr>
          <w:rFonts w:eastAsia="Times New Roman" w:cstheme="minorHAnsi"/>
          <w:b/>
          <w:sz w:val="24"/>
          <w:szCs w:val="24"/>
          <w:lang w:eastAsia="pl-PL"/>
        </w:rPr>
        <w:t xml:space="preserve">skiwane z powyższych rejestrów </w:t>
      </w:r>
      <w:r w:rsidRPr="00492F7A">
        <w:rPr>
          <w:rFonts w:eastAsia="Times New Roman" w:cstheme="minorHAnsi"/>
          <w:b/>
          <w:sz w:val="24"/>
          <w:szCs w:val="24"/>
          <w:lang w:eastAsia="pl-PL"/>
        </w:rPr>
        <w:t xml:space="preserve">winny przede wszystkim stymulować poszukiwanie sposobów poprawy jakości opieki medycznej. </w:t>
      </w:r>
    </w:p>
    <w:p w14:paraId="26EEC81C" w14:textId="77777777" w:rsidR="005443D7" w:rsidRPr="00492F7A" w:rsidRDefault="005443D7" w:rsidP="00492F7A">
      <w:pPr>
        <w:spacing w:after="0"/>
        <w:jc w:val="both"/>
        <w:rPr>
          <w:rFonts w:eastAsia="Times New Roman" w:cstheme="minorHAnsi"/>
          <w:sz w:val="24"/>
          <w:szCs w:val="24"/>
          <w:lang w:eastAsia="pl-PL"/>
        </w:rPr>
      </w:pPr>
    </w:p>
    <w:p w14:paraId="317FA507" w14:textId="2E6C5B73" w:rsidR="005443D7" w:rsidRPr="00492F7A" w:rsidRDefault="005443D7" w:rsidP="00492F7A">
      <w:pPr>
        <w:spacing w:after="0"/>
        <w:jc w:val="both"/>
        <w:rPr>
          <w:rFonts w:eastAsia="Times New Roman" w:cstheme="minorHAnsi"/>
          <w:sz w:val="24"/>
          <w:szCs w:val="24"/>
          <w:lang w:eastAsia="pl-PL"/>
        </w:rPr>
      </w:pPr>
      <w:r w:rsidRPr="00492F7A">
        <w:rPr>
          <w:rFonts w:eastAsia="Times New Roman" w:cstheme="minorHAnsi"/>
          <w:sz w:val="24"/>
          <w:szCs w:val="24"/>
          <w:lang w:eastAsia="pl-PL"/>
        </w:rPr>
        <w:t xml:space="preserve">W celu efektywnej i ekonomicznie uzasadnionej konstrukcji systemu rejestrów klinicznych niezbędne jest: </w:t>
      </w:r>
    </w:p>
    <w:p w14:paraId="6144F669" w14:textId="0E997CF5" w:rsidR="00280304" w:rsidRPr="00492F7A" w:rsidRDefault="00280304" w:rsidP="00492F7A">
      <w:pPr>
        <w:numPr>
          <w:ilvl w:val="1"/>
          <w:numId w:val="11"/>
        </w:numPr>
        <w:spacing w:after="0"/>
        <w:contextualSpacing/>
        <w:jc w:val="both"/>
        <w:rPr>
          <w:rFonts w:eastAsia="Times New Roman" w:cstheme="minorHAnsi"/>
          <w:sz w:val="24"/>
          <w:szCs w:val="24"/>
          <w:lang w:eastAsia="pl-PL"/>
        </w:rPr>
      </w:pPr>
      <w:r w:rsidRPr="00492F7A">
        <w:rPr>
          <w:rFonts w:eastAsia="Times New Roman" w:cstheme="minorHAnsi"/>
          <w:sz w:val="24"/>
          <w:szCs w:val="24"/>
          <w:lang w:eastAsia="pl-PL"/>
        </w:rPr>
        <w:t>z</w:t>
      </w:r>
      <w:r w:rsidR="005443D7" w:rsidRPr="00492F7A">
        <w:rPr>
          <w:rFonts w:eastAsia="Times New Roman" w:cstheme="minorHAnsi"/>
          <w:sz w:val="24"/>
          <w:szCs w:val="24"/>
          <w:lang w:eastAsia="pl-PL"/>
        </w:rPr>
        <w:t xml:space="preserve">apewnienie </w:t>
      </w:r>
      <w:r w:rsidR="00143EC4">
        <w:rPr>
          <w:rFonts w:eastAsia="Times New Roman" w:cstheme="minorHAnsi"/>
          <w:sz w:val="24"/>
          <w:szCs w:val="24"/>
          <w:lang w:eastAsia="pl-PL"/>
        </w:rPr>
        <w:t xml:space="preserve">ich </w:t>
      </w:r>
      <w:r w:rsidR="005443D7" w:rsidRPr="00492F7A">
        <w:rPr>
          <w:rFonts w:eastAsia="Times New Roman" w:cstheme="minorHAnsi"/>
          <w:sz w:val="24"/>
          <w:szCs w:val="24"/>
          <w:lang w:eastAsia="pl-PL"/>
        </w:rPr>
        <w:t xml:space="preserve">jednolitego, wysokiego standardu </w:t>
      </w:r>
      <w:r w:rsidRPr="00492F7A">
        <w:rPr>
          <w:rFonts w:eastAsia="Times New Roman" w:cstheme="minorHAnsi"/>
          <w:sz w:val="24"/>
          <w:szCs w:val="24"/>
          <w:lang w:eastAsia="pl-PL"/>
        </w:rPr>
        <w:t>oraz</w:t>
      </w:r>
      <w:r w:rsidR="005443D7" w:rsidRPr="00492F7A">
        <w:rPr>
          <w:rFonts w:eastAsia="Times New Roman" w:cstheme="minorHAnsi"/>
          <w:sz w:val="24"/>
          <w:szCs w:val="24"/>
          <w:lang w:eastAsia="pl-PL"/>
        </w:rPr>
        <w:t xml:space="preserve"> okre</w:t>
      </w:r>
      <w:r w:rsidRPr="00492F7A">
        <w:rPr>
          <w:rFonts w:eastAsia="Times New Roman" w:cstheme="minorHAnsi"/>
          <w:sz w:val="24"/>
          <w:szCs w:val="24"/>
          <w:lang w:eastAsia="pl-PL"/>
        </w:rPr>
        <w:t>sowego przeglądu ich spełniania,</w:t>
      </w:r>
      <w:r w:rsidR="005443D7" w:rsidRPr="00492F7A">
        <w:rPr>
          <w:rFonts w:eastAsia="Times New Roman" w:cstheme="minorHAnsi"/>
          <w:sz w:val="24"/>
          <w:szCs w:val="24"/>
          <w:lang w:eastAsia="pl-PL"/>
        </w:rPr>
        <w:t xml:space="preserve"> </w:t>
      </w:r>
    </w:p>
    <w:p w14:paraId="178393E3" w14:textId="5ABAE760" w:rsidR="00280304" w:rsidRPr="00492F7A" w:rsidRDefault="00280304" w:rsidP="00492F7A">
      <w:pPr>
        <w:numPr>
          <w:ilvl w:val="1"/>
          <w:numId w:val="11"/>
        </w:numPr>
        <w:spacing w:after="0"/>
        <w:contextualSpacing/>
        <w:jc w:val="both"/>
        <w:rPr>
          <w:rFonts w:eastAsia="Times New Roman" w:cstheme="minorHAnsi"/>
          <w:sz w:val="24"/>
          <w:szCs w:val="24"/>
          <w:lang w:eastAsia="pl-PL"/>
        </w:rPr>
      </w:pPr>
      <w:r w:rsidRPr="00492F7A">
        <w:rPr>
          <w:rFonts w:eastAsia="Times New Roman" w:cstheme="minorHAnsi"/>
          <w:sz w:val="24"/>
          <w:szCs w:val="24"/>
          <w:lang w:eastAsia="pl-PL"/>
        </w:rPr>
        <w:t xml:space="preserve">zapewnienie </w:t>
      </w:r>
      <w:r w:rsidR="00FD2C1A" w:rsidRPr="00492F7A">
        <w:rPr>
          <w:rFonts w:eastAsia="Times New Roman" w:cstheme="minorHAnsi"/>
          <w:sz w:val="24"/>
          <w:szCs w:val="24"/>
          <w:lang w:eastAsia="pl-PL"/>
        </w:rPr>
        <w:t xml:space="preserve">finansowania dla </w:t>
      </w:r>
      <w:r w:rsidR="00143EC4">
        <w:rPr>
          <w:rFonts w:eastAsia="Times New Roman" w:cstheme="minorHAnsi"/>
          <w:sz w:val="24"/>
          <w:szCs w:val="24"/>
          <w:lang w:eastAsia="pl-PL"/>
        </w:rPr>
        <w:t xml:space="preserve">ich </w:t>
      </w:r>
      <w:r w:rsidRPr="00492F7A">
        <w:rPr>
          <w:rFonts w:eastAsia="Times New Roman" w:cstheme="minorHAnsi"/>
          <w:sz w:val="24"/>
          <w:szCs w:val="24"/>
          <w:lang w:eastAsia="pl-PL"/>
        </w:rPr>
        <w:t>u</w:t>
      </w:r>
      <w:r w:rsidR="00143EC4">
        <w:rPr>
          <w:rFonts w:eastAsia="Times New Roman" w:cstheme="minorHAnsi"/>
          <w:sz w:val="24"/>
          <w:szCs w:val="24"/>
          <w:lang w:eastAsia="pl-PL"/>
        </w:rPr>
        <w:t>tworzenia oraz</w:t>
      </w:r>
      <w:r w:rsidR="00FD2C1A" w:rsidRPr="00492F7A">
        <w:rPr>
          <w:rFonts w:eastAsia="Times New Roman" w:cstheme="minorHAnsi"/>
          <w:sz w:val="24"/>
          <w:szCs w:val="24"/>
          <w:lang w:eastAsia="pl-PL"/>
        </w:rPr>
        <w:t xml:space="preserve"> prowadzenia</w:t>
      </w:r>
      <w:r w:rsidRPr="00492F7A">
        <w:rPr>
          <w:rFonts w:eastAsia="Times New Roman" w:cstheme="minorHAnsi"/>
          <w:sz w:val="24"/>
          <w:szCs w:val="24"/>
          <w:lang w:eastAsia="pl-PL"/>
        </w:rPr>
        <w:t>,</w:t>
      </w:r>
    </w:p>
    <w:p w14:paraId="12B1C837" w14:textId="4D11C636" w:rsidR="00AF1422" w:rsidRPr="00492F7A" w:rsidRDefault="00280304" w:rsidP="00492F7A">
      <w:pPr>
        <w:numPr>
          <w:ilvl w:val="1"/>
          <w:numId w:val="11"/>
        </w:numPr>
        <w:spacing w:after="0"/>
        <w:contextualSpacing/>
        <w:jc w:val="both"/>
        <w:rPr>
          <w:rFonts w:eastAsia="Times New Roman" w:cstheme="minorHAnsi"/>
          <w:sz w:val="24"/>
          <w:szCs w:val="24"/>
          <w:lang w:eastAsia="pl-PL"/>
        </w:rPr>
      </w:pPr>
      <w:r w:rsidRPr="00492F7A">
        <w:rPr>
          <w:rFonts w:eastAsia="Times New Roman" w:cstheme="minorHAnsi"/>
          <w:sz w:val="24"/>
          <w:szCs w:val="24"/>
          <w:lang w:eastAsia="pl-PL"/>
        </w:rPr>
        <w:t>z</w:t>
      </w:r>
      <w:r w:rsidR="005443D7" w:rsidRPr="00492F7A">
        <w:rPr>
          <w:rFonts w:eastAsia="Times New Roman" w:cstheme="minorHAnsi"/>
          <w:sz w:val="24"/>
          <w:szCs w:val="24"/>
          <w:lang w:eastAsia="pl-PL"/>
        </w:rPr>
        <w:t>apewnienie udziału w zarządzaniu rejestrami przedstawicielom odpowiednich (do tematyki rejestru) specjalności medycznych i przedstawicielom pacjentów</w:t>
      </w:r>
      <w:r w:rsidR="00AF1422" w:rsidRPr="00492F7A">
        <w:rPr>
          <w:rFonts w:eastAsia="Times New Roman" w:cstheme="minorHAnsi"/>
          <w:sz w:val="24"/>
          <w:szCs w:val="24"/>
          <w:lang w:eastAsia="pl-PL"/>
        </w:rPr>
        <w:t>:</w:t>
      </w:r>
    </w:p>
    <w:p w14:paraId="5E580788" w14:textId="2A801311" w:rsidR="005443D7" w:rsidRPr="00492F7A" w:rsidRDefault="00280304" w:rsidP="00492F7A">
      <w:pPr>
        <w:spacing w:after="0"/>
        <w:contextualSpacing/>
        <w:jc w:val="both"/>
        <w:rPr>
          <w:rFonts w:eastAsia="Times New Roman" w:cstheme="minorHAnsi"/>
          <w:sz w:val="24"/>
          <w:szCs w:val="24"/>
          <w:lang w:eastAsia="pl-PL"/>
        </w:rPr>
      </w:pPr>
      <w:r w:rsidRPr="00492F7A">
        <w:rPr>
          <w:rFonts w:eastAsia="Times New Roman" w:cstheme="minorHAnsi"/>
          <w:sz w:val="24"/>
          <w:szCs w:val="24"/>
          <w:lang w:eastAsia="pl-PL"/>
        </w:rPr>
        <w:t xml:space="preserve">Rozważyć należy, </w:t>
      </w:r>
      <w:r w:rsidR="00143EC4">
        <w:rPr>
          <w:rFonts w:eastAsia="Times New Roman" w:cstheme="minorHAnsi"/>
          <w:sz w:val="24"/>
          <w:szCs w:val="24"/>
          <w:lang w:eastAsia="pl-PL"/>
        </w:rPr>
        <w:t>kto powinien prowadzić rejestry</w:t>
      </w:r>
      <w:r w:rsidR="005443D7" w:rsidRPr="00492F7A">
        <w:rPr>
          <w:rFonts w:eastAsia="Times New Roman" w:cstheme="minorHAnsi"/>
          <w:sz w:val="24"/>
          <w:szCs w:val="24"/>
          <w:lang w:eastAsia="pl-PL"/>
        </w:rPr>
        <w:t xml:space="preserve">. </w:t>
      </w:r>
      <w:r w:rsidR="00924C2F">
        <w:rPr>
          <w:rFonts w:eastAsia="Times New Roman" w:cstheme="minorHAnsi"/>
          <w:sz w:val="24"/>
          <w:szCs w:val="24"/>
          <w:lang w:eastAsia="pl-PL"/>
        </w:rPr>
        <w:t>Zaproponowano</w:t>
      </w:r>
      <w:r w:rsidR="00C075BD">
        <w:rPr>
          <w:rFonts w:eastAsia="Times New Roman" w:cstheme="minorHAnsi"/>
          <w:sz w:val="24"/>
          <w:szCs w:val="24"/>
          <w:lang w:eastAsia="pl-PL"/>
        </w:rPr>
        <w:t xml:space="preserve"> </w:t>
      </w:r>
      <w:r w:rsidR="00C075BD" w:rsidRPr="00492F7A">
        <w:rPr>
          <w:rFonts w:eastAsia="Times New Roman" w:cstheme="minorHAnsi"/>
          <w:b/>
          <w:sz w:val="24"/>
          <w:szCs w:val="24"/>
          <w:lang w:eastAsia="pl-PL"/>
        </w:rPr>
        <w:t>utworzenie krajowego ośrodka klinicznych rejestrów jakości</w:t>
      </w:r>
      <w:r w:rsidR="00640DB6">
        <w:rPr>
          <w:rFonts w:eastAsia="Times New Roman" w:cstheme="minorHAnsi"/>
          <w:b/>
          <w:sz w:val="24"/>
          <w:szCs w:val="24"/>
          <w:lang w:eastAsia="pl-PL"/>
        </w:rPr>
        <w:t xml:space="preserve">, </w:t>
      </w:r>
      <w:r w:rsidR="00640DB6" w:rsidRPr="00640DB6">
        <w:rPr>
          <w:rFonts w:eastAsia="Times New Roman" w:cstheme="minorHAnsi"/>
          <w:sz w:val="24"/>
          <w:szCs w:val="24"/>
          <w:lang w:eastAsia="pl-PL"/>
        </w:rPr>
        <w:t>choć w niektórych krajach funkcjonują konkurencyjne modele organizacji systemu rejestrów</w:t>
      </w:r>
      <w:r w:rsidR="00C075BD" w:rsidRPr="00492F7A">
        <w:rPr>
          <w:rFonts w:eastAsia="Times New Roman" w:cstheme="minorHAnsi"/>
          <w:b/>
          <w:sz w:val="24"/>
          <w:szCs w:val="24"/>
          <w:lang w:eastAsia="pl-PL"/>
        </w:rPr>
        <w:t>.</w:t>
      </w:r>
      <w:r w:rsidR="00924C2F">
        <w:rPr>
          <w:rFonts w:eastAsia="Times New Roman" w:cstheme="minorHAnsi"/>
          <w:b/>
          <w:sz w:val="24"/>
          <w:szCs w:val="24"/>
          <w:lang w:eastAsia="pl-PL"/>
        </w:rPr>
        <w:t xml:space="preserve"> </w:t>
      </w:r>
      <w:r w:rsidR="00924C2F">
        <w:rPr>
          <w:rFonts w:eastAsia="Times New Roman" w:cstheme="minorHAnsi"/>
          <w:sz w:val="24"/>
          <w:szCs w:val="24"/>
          <w:lang w:eastAsia="pl-PL"/>
        </w:rPr>
        <w:t>Otwarte pozostaje pytanie o jego umiejscowienie: Ministerstwo Zdrowia, CMJ czy NFZ.</w:t>
      </w:r>
      <w:r w:rsidR="00640DB6">
        <w:rPr>
          <w:rFonts w:eastAsia="Times New Roman" w:cstheme="minorHAnsi"/>
          <w:sz w:val="24"/>
          <w:szCs w:val="24"/>
          <w:lang w:eastAsia="pl-PL"/>
        </w:rPr>
        <w:t xml:space="preserve"> </w:t>
      </w:r>
      <w:r w:rsidR="00143EC4">
        <w:rPr>
          <w:rFonts w:eastAsia="Times New Roman" w:cstheme="minorHAnsi"/>
          <w:sz w:val="24"/>
          <w:szCs w:val="24"/>
          <w:lang w:eastAsia="pl-PL"/>
        </w:rPr>
        <w:t>Zapewnić jednak należy odpowiednie wsparcie merytoryczne o charakterze klinicznym oraz wsparcie techniczne. Konieczne jest</w:t>
      </w:r>
      <w:r w:rsidRPr="00492F7A">
        <w:rPr>
          <w:rFonts w:eastAsia="Times New Roman" w:cstheme="minorHAnsi"/>
          <w:sz w:val="24"/>
          <w:szCs w:val="24"/>
          <w:lang w:eastAsia="pl-PL"/>
        </w:rPr>
        <w:t xml:space="preserve"> w</w:t>
      </w:r>
      <w:r w:rsidR="005443D7" w:rsidRPr="00492F7A">
        <w:rPr>
          <w:rFonts w:eastAsia="Times New Roman" w:cstheme="minorHAnsi"/>
          <w:sz w:val="24"/>
          <w:szCs w:val="24"/>
          <w:lang w:eastAsia="pl-PL"/>
        </w:rPr>
        <w:t xml:space="preserve">ykorzystanie </w:t>
      </w:r>
      <w:r w:rsidR="00143EC4">
        <w:rPr>
          <w:rFonts w:eastAsia="Times New Roman" w:cstheme="minorHAnsi"/>
          <w:sz w:val="24"/>
          <w:szCs w:val="24"/>
          <w:lang w:eastAsia="pl-PL"/>
        </w:rPr>
        <w:t xml:space="preserve">w tym celu </w:t>
      </w:r>
      <w:r w:rsidR="005443D7" w:rsidRPr="00492F7A">
        <w:rPr>
          <w:rFonts w:eastAsia="Times New Roman" w:cstheme="minorHAnsi"/>
          <w:sz w:val="24"/>
          <w:szCs w:val="24"/>
          <w:lang w:eastAsia="pl-PL"/>
        </w:rPr>
        <w:t>współczesn</w:t>
      </w:r>
      <w:r w:rsidR="00143EC4">
        <w:rPr>
          <w:rFonts w:eastAsia="Times New Roman" w:cstheme="minorHAnsi"/>
          <w:sz w:val="24"/>
          <w:szCs w:val="24"/>
          <w:lang w:eastAsia="pl-PL"/>
        </w:rPr>
        <w:t>ych</w:t>
      </w:r>
      <w:r w:rsidR="005443D7" w:rsidRPr="00492F7A">
        <w:rPr>
          <w:rFonts w:eastAsia="Times New Roman" w:cstheme="minorHAnsi"/>
          <w:sz w:val="24"/>
          <w:szCs w:val="24"/>
          <w:lang w:eastAsia="pl-PL"/>
        </w:rPr>
        <w:t xml:space="preserve"> technologii informatyczn</w:t>
      </w:r>
      <w:r w:rsidR="00A81D5E" w:rsidRPr="00492F7A">
        <w:rPr>
          <w:rFonts w:eastAsia="Times New Roman" w:cstheme="minorHAnsi"/>
          <w:sz w:val="24"/>
          <w:szCs w:val="24"/>
          <w:lang w:eastAsia="pl-PL"/>
        </w:rPr>
        <w:t>ych</w:t>
      </w:r>
      <w:r w:rsidR="00143EC4">
        <w:rPr>
          <w:rFonts w:eastAsia="Times New Roman" w:cstheme="minorHAnsi"/>
          <w:sz w:val="24"/>
          <w:szCs w:val="24"/>
          <w:lang w:eastAsia="pl-PL"/>
        </w:rPr>
        <w:t xml:space="preserve">, </w:t>
      </w:r>
      <w:r w:rsidRPr="00492F7A">
        <w:rPr>
          <w:rFonts w:eastAsia="Times New Roman" w:cstheme="minorHAnsi"/>
          <w:sz w:val="24"/>
          <w:szCs w:val="24"/>
          <w:lang w:eastAsia="pl-PL"/>
        </w:rPr>
        <w:t>także</w:t>
      </w:r>
      <w:r w:rsidR="00832A0D" w:rsidRPr="00492F7A">
        <w:rPr>
          <w:rFonts w:eastAsia="Times New Roman" w:cstheme="minorHAnsi"/>
          <w:sz w:val="24"/>
          <w:szCs w:val="24"/>
          <w:lang w:eastAsia="pl-PL"/>
        </w:rPr>
        <w:t xml:space="preserve"> </w:t>
      </w:r>
      <w:r w:rsidR="00143EC4">
        <w:rPr>
          <w:rFonts w:eastAsia="Times New Roman" w:cstheme="minorHAnsi"/>
          <w:sz w:val="24"/>
          <w:szCs w:val="24"/>
          <w:lang w:eastAsia="pl-PL"/>
        </w:rPr>
        <w:t xml:space="preserve">dla </w:t>
      </w:r>
      <w:r w:rsidRPr="00492F7A">
        <w:rPr>
          <w:rFonts w:eastAsia="Times New Roman" w:cstheme="minorHAnsi"/>
          <w:sz w:val="24"/>
          <w:szCs w:val="24"/>
          <w:lang w:eastAsia="pl-PL"/>
        </w:rPr>
        <w:t xml:space="preserve"> </w:t>
      </w:r>
      <w:r w:rsidRPr="00492F7A">
        <w:rPr>
          <w:rFonts w:eastAsia="Times New Roman" w:cstheme="minorHAnsi"/>
          <w:sz w:val="24"/>
          <w:szCs w:val="24"/>
          <w:lang w:eastAsia="pl-PL"/>
        </w:rPr>
        <w:lastRenderedPageBreak/>
        <w:t>pozyskiwania</w:t>
      </w:r>
      <w:r w:rsidR="005443D7" w:rsidRPr="00492F7A">
        <w:rPr>
          <w:rFonts w:eastAsia="Times New Roman" w:cstheme="minorHAnsi"/>
          <w:sz w:val="24"/>
          <w:szCs w:val="24"/>
          <w:lang w:eastAsia="pl-PL"/>
        </w:rPr>
        <w:t xml:space="preserve"> </w:t>
      </w:r>
      <w:r w:rsidRPr="00492F7A">
        <w:rPr>
          <w:rFonts w:eastAsia="Times New Roman" w:cstheme="minorHAnsi"/>
          <w:sz w:val="24"/>
          <w:szCs w:val="24"/>
          <w:lang w:eastAsia="pl-PL"/>
        </w:rPr>
        <w:t xml:space="preserve">informacji </w:t>
      </w:r>
      <w:r w:rsidR="00143EC4">
        <w:rPr>
          <w:rFonts w:eastAsia="Times New Roman" w:cstheme="minorHAnsi"/>
          <w:sz w:val="24"/>
          <w:szCs w:val="24"/>
          <w:lang w:eastAsia="pl-PL"/>
        </w:rPr>
        <w:t>na temat doświadczeń pacjentów</w:t>
      </w:r>
      <w:r w:rsidR="005443D7" w:rsidRPr="00492F7A">
        <w:rPr>
          <w:rFonts w:eastAsia="Times New Roman" w:cstheme="minorHAnsi"/>
          <w:sz w:val="24"/>
          <w:szCs w:val="24"/>
          <w:lang w:eastAsia="pl-PL"/>
        </w:rPr>
        <w:t xml:space="preserve">. </w:t>
      </w:r>
      <w:r w:rsidR="00640DB6" w:rsidRPr="00492F7A">
        <w:rPr>
          <w:rFonts w:eastAsia="Times New Roman" w:cstheme="minorHAnsi"/>
          <w:b/>
          <w:sz w:val="24"/>
          <w:szCs w:val="24"/>
          <w:lang w:eastAsia="pl-PL"/>
        </w:rPr>
        <w:t xml:space="preserve">Wskazana </w:t>
      </w:r>
      <w:r w:rsidR="00640DB6">
        <w:rPr>
          <w:rFonts w:eastAsia="Times New Roman" w:cstheme="minorHAnsi"/>
          <w:b/>
          <w:sz w:val="24"/>
          <w:szCs w:val="24"/>
          <w:lang w:eastAsia="pl-PL"/>
        </w:rPr>
        <w:t>jest</w:t>
      </w:r>
      <w:r w:rsidR="00640DB6" w:rsidRPr="00492F7A">
        <w:rPr>
          <w:rFonts w:eastAsia="Times New Roman" w:cstheme="minorHAnsi"/>
          <w:b/>
          <w:sz w:val="24"/>
          <w:szCs w:val="24"/>
          <w:lang w:eastAsia="pl-PL"/>
        </w:rPr>
        <w:t xml:space="preserve"> </w:t>
      </w:r>
      <w:r w:rsidR="00640DB6">
        <w:rPr>
          <w:rFonts w:eastAsia="Times New Roman" w:cstheme="minorHAnsi"/>
          <w:b/>
          <w:sz w:val="24"/>
          <w:szCs w:val="24"/>
          <w:lang w:eastAsia="pl-PL"/>
        </w:rPr>
        <w:t xml:space="preserve">też </w:t>
      </w:r>
      <w:r w:rsidR="00640DB6" w:rsidRPr="00492F7A">
        <w:rPr>
          <w:rFonts w:eastAsia="Times New Roman" w:cstheme="minorHAnsi"/>
          <w:b/>
          <w:sz w:val="24"/>
          <w:szCs w:val="24"/>
          <w:lang w:eastAsia="pl-PL"/>
        </w:rPr>
        <w:t>współpraca z innymi krajami mającymi doświadczenie w prowadzeniu rejestrów klinicznych</w:t>
      </w:r>
      <w:r w:rsidR="00640DB6">
        <w:rPr>
          <w:rFonts w:eastAsia="Times New Roman" w:cstheme="minorHAnsi"/>
          <w:b/>
          <w:sz w:val="24"/>
          <w:szCs w:val="24"/>
          <w:lang w:eastAsia="pl-PL"/>
        </w:rPr>
        <w:t>.</w:t>
      </w:r>
    </w:p>
    <w:p w14:paraId="496A45A0" w14:textId="4487EA2C" w:rsidR="00346E34" w:rsidRPr="00492F7A" w:rsidRDefault="00640DB6" w:rsidP="00492F7A">
      <w:pPr>
        <w:spacing w:after="0"/>
        <w:contextualSpacing/>
        <w:jc w:val="both"/>
        <w:rPr>
          <w:rFonts w:eastAsia="Times New Roman" w:cstheme="minorHAnsi"/>
          <w:sz w:val="24"/>
          <w:szCs w:val="24"/>
          <w:lang w:eastAsia="pl-PL"/>
        </w:rPr>
      </w:pPr>
      <w:r>
        <w:rPr>
          <w:rFonts w:eastAsia="Times New Roman" w:cstheme="minorHAnsi"/>
          <w:b/>
          <w:sz w:val="24"/>
          <w:szCs w:val="24"/>
          <w:lang w:eastAsia="pl-PL"/>
        </w:rPr>
        <w:t>Ponadto, k</w:t>
      </w:r>
      <w:r w:rsidR="00346E34" w:rsidRPr="00492F7A">
        <w:rPr>
          <w:rFonts w:eastAsia="Times New Roman" w:cstheme="minorHAnsi"/>
          <w:b/>
          <w:sz w:val="24"/>
          <w:szCs w:val="24"/>
          <w:lang w:eastAsia="pl-PL"/>
        </w:rPr>
        <w:t xml:space="preserve">onieczne jest szybkie </w:t>
      </w:r>
      <w:r w:rsidR="005443D7" w:rsidRPr="00492F7A">
        <w:rPr>
          <w:rFonts w:eastAsia="Times New Roman" w:cstheme="minorHAnsi"/>
          <w:b/>
          <w:sz w:val="24"/>
          <w:szCs w:val="24"/>
          <w:lang w:eastAsia="pl-PL"/>
        </w:rPr>
        <w:t>doprowadzenie do uchwalenia ustawy o jakości i bezpieczeństwie w opiece zdrowotnej</w:t>
      </w:r>
      <w:r w:rsidR="005443D7" w:rsidRPr="00492F7A">
        <w:rPr>
          <w:rFonts w:eastAsia="Times New Roman" w:cstheme="minorHAnsi"/>
          <w:sz w:val="24"/>
          <w:szCs w:val="24"/>
          <w:lang w:eastAsia="pl-PL"/>
        </w:rPr>
        <w:t xml:space="preserve"> </w:t>
      </w:r>
      <w:r w:rsidR="00346E34" w:rsidRPr="00492F7A">
        <w:rPr>
          <w:rFonts w:eastAsia="Times New Roman" w:cstheme="minorHAnsi"/>
          <w:sz w:val="24"/>
          <w:szCs w:val="24"/>
          <w:lang w:eastAsia="pl-PL"/>
        </w:rPr>
        <w:t>rozstrzygającej bardziej szczegółowe kwestie dotyczące budowy systemu monitorowania jakości w ochronie zdrowia w Polsce.</w:t>
      </w:r>
    </w:p>
    <w:p w14:paraId="39BBD0B5" w14:textId="77777777" w:rsidR="00346E34" w:rsidRPr="00492F7A" w:rsidRDefault="00346E34" w:rsidP="00492F7A">
      <w:pPr>
        <w:spacing w:after="0"/>
        <w:contextualSpacing/>
        <w:jc w:val="both"/>
        <w:rPr>
          <w:rFonts w:eastAsia="Times New Roman" w:cstheme="minorHAnsi"/>
          <w:b/>
          <w:sz w:val="24"/>
          <w:szCs w:val="24"/>
          <w:lang w:eastAsia="pl-PL"/>
        </w:rPr>
      </w:pPr>
    </w:p>
    <w:p w14:paraId="18ED5F2B" w14:textId="77777777" w:rsidR="005443D7" w:rsidRPr="00492F7A" w:rsidRDefault="005443D7" w:rsidP="00492F7A">
      <w:pPr>
        <w:spacing w:after="0"/>
        <w:ind w:left="720"/>
        <w:contextualSpacing/>
        <w:jc w:val="both"/>
        <w:rPr>
          <w:rFonts w:eastAsia="Times New Roman" w:cstheme="minorHAnsi"/>
          <w:sz w:val="24"/>
          <w:szCs w:val="24"/>
          <w:lang w:eastAsia="pl-PL"/>
        </w:rPr>
      </w:pPr>
    </w:p>
    <w:p w14:paraId="75DA1A02" w14:textId="77777777" w:rsidR="008A754B" w:rsidRPr="00492F7A" w:rsidRDefault="008A754B" w:rsidP="00492F7A">
      <w:pPr>
        <w:spacing w:after="0"/>
        <w:jc w:val="both"/>
        <w:rPr>
          <w:rFonts w:cstheme="minorHAnsi"/>
          <w:b/>
          <w:color w:val="365F91" w:themeColor="accent1" w:themeShade="BF"/>
          <w:sz w:val="24"/>
          <w:szCs w:val="24"/>
        </w:rPr>
      </w:pPr>
      <w:r w:rsidRPr="00492F7A">
        <w:rPr>
          <w:rFonts w:cstheme="minorHAnsi"/>
          <w:b/>
          <w:color w:val="365F91" w:themeColor="accent1" w:themeShade="BF"/>
          <w:sz w:val="24"/>
          <w:szCs w:val="24"/>
        </w:rPr>
        <w:t>Rekomendacje dotyczące Poprawy Bezpieczeństwa Pacjenta i Jakości Opieki</w:t>
      </w:r>
    </w:p>
    <w:p w14:paraId="4B24ADD8" w14:textId="77777777" w:rsidR="008A754B" w:rsidRPr="00492F7A" w:rsidRDefault="008A754B" w:rsidP="00492F7A">
      <w:pPr>
        <w:spacing w:after="0"/>
        <w:jc w:val="both"/>
        <w:rPr>
          <w:rFonts w:cstheme="minorHAnsi"/>
          <w:sz w:val="24"/>
          <w:szCs w:val="24"/>
        </w:rPr>
      </w:pPr>
    </w:p>
    <w:p w14:paraId="7FC3236A" w14:textId="3D7686BF" w:rsidR="008A754B" w:rsidRPr="00492F7A" w:rsidRDefault="00522CCE" w:rsidP="00492F7A">
      <w:pPr>
        <w:spacing w:before="120"/>
        <w:jc w:val="both"/>
        <w:rPr>
          <w:rFonts w:eastAsia="Times New Roman" w:cstheme="minorHAnsi"/>
          <w:sz w:val="24"/>
          <w:szCs w:val="24"/>
        </w:rPr>
      </w:pPr>
      <w:r w:rsidRPr="00492F7A">
        <w:rPr>
          <w:rFonts w:eastAsia="Times New Roman" w:cstheme="minorHAnsi"/>
          <w:sz w:val="24"/>
          <w:szCs w:val="24"/>
        </w:rPr>
        <w:t>S</w:t>
      </w:r>
      <w:r w:rsidR="008A754B" w:rsidRPr="00492F7A">
        <w:rPr>
          <w:rFonts w:eastAsia="Times New Roman" w:cstheme="minorHAnsi"/>
          <w:sz w:val="24"/>
          <w:szCs w:val="24"/>
        </w:rPr>
        <w:t xml:space="preserve">tatystyki światowe wskazują, że corocznie ok. </w:t>
      </w:r>
      <w:r w:rsidR="0060471A" w:rsidRPr="00492F7A">
        <w:rPr>
          <w:rFonts w:eastAsia="Times New Roman" w:cstheme="minorHAnsi"/>
          <w:sz w:val="24"/>
          <w:szCs w:val="24"/>
        </w:rPr>
        <w:t>7</w:t>
      </w:r>
      <w:r w:rsidRPr="00492F7A">
        <w:rPr>
          <w:rFonts w:eastAsia="Times New Roman" w:cstheme="minorHAnsi"/>
          <w:sz w:val="24"/>
          <w:szCs w:val="24"/>
        </w:rPr>
        <w:t>-12 %</w:t>
      </w:r>
      <w:r w:rsidRPr="00492F7A">
        <w:rPr>
          <w:rStyle w:val="Odwoanieprzypisudolnego"/>
          <w:rFonts w:eastAsia="Times New Roman" w:cstheme="minorHAnsi"/>
          <w:sz w:val="24"/>
          <w:szCs w:val="24"/>
        </w:rPr>
        <w:footnoteReference w:id="1"/>
      </w:r>
      <w:r w:rsidRPr="00492F7A">
        <w:rPr>
          <w:rFonts w:eastAsia="Times New Roman" w:cstheme="minorHAnsi"/>
          <w:sz w:val="24"/>
          <w:szCs w:val="24"/>
        </w:rPr>
        <w:t xml:space="preserve"> </w:t>
      </w:r>
      <w:r w:rsidR="008A754B" w:rsidRPr="00492F7A">
        <w:rPr>
          <w:rFonts w:eastAsia="Times New Roman" w:cstheme="minorHAnsi"/>
          <w:sz w:val="24"/>
          <w:szCs w:val="24"/>
        </w:rPr>
        <w:t>pacjentów korzystających z opieki   szpitalnej doświadcza szkody z powodu zdarzeń niepożądanych (ZN)</w:t>
      </w:r>
      <w:r w:rsidR="00DC7EF3" w:rsidRPr="00492F7A">
        <w:rPr>
          <w:rFonts w:eastAsia="Times New Roman" w:cstheme="minorHAnsi"/>
          <w:sz w:val="24"/>
          <w:szCs w:val="24"/>
        </w:rPr>
        <w:t>. Tymczasem</w:t>
      </w:r>
      <w:r w:rsidR="008A754B" w:rsidRPr="00492F7A">
        <w:rPr>
          <w:rFonts w:eastAsia="Times New Roman" w:cstheme="minorHAnsi"/>
          <w:sz w:val="24"/>
          <w:szCs w:val="24"/>
        </w:rPr>
        <w:t xml:space="preserve"> </w:t>
      </w:r>
      <w:r w:rsidRPr="00492F7A">
        <w:rPr>
          <w:rFonts w:eastAsia="Times New Roman" w:cstheme="minorHAnsi"/>
          <w:sz w:val="24"/>
          <w:szCs w:val="24"/>
        </w:rPr>
        <w:t>40-70% zdarzeń niepożądanych</w:t>
      </w:r>
      <w:r w:rsidR="008A754B" w:rsidRPr="00492F7A">
        <w:rPr>
          <w:rFonts w:eastAsia="Times New Roman" w:cstheme="minorHAnsi"/>
          <w:sz w:val="24"/>
          <w:szCs w:val="24"/>
        </w:rPr>
        <w:t xml:space="preserve"> można </w:t>
      </w:r>
      <w:r w:rsidR="00DC7EF3" w:rsidRPr="00492F7A">
        <w:rPr>
          <w:rFonts w:eastAsia="Times New Roman" w:cstheme="minorHAnsi"/>
          <w:sz w:val="24"/>
          <w:szCs w:val="24"/>
        </w:rPr>
        <w:t>zapobiec</w:t>
      </w:r>
      <w:r w:rsidRPr="00492F7A">
        <w:rPr>
          <w:rFonts w:eastAsia="Times New Roman" w:cstheme="minorHAnsi"/>
          <w:sz w:val="24"/>
          <w:szCs w:val="24"/>
        </w:rPr>
        <w:t>.</w:t>
      </w:r>
      <w:r w:rsidR="008A754B" w:rsidRPr="00492F7A">
        <w:rPr>
          <w:rFonts w:eastAsia="Times New Roman" w:cstheme="minorHAnsi"/>
          <w:sz w:val="24"/>
          <w:szCs w:val="24"/>
        </w:rPr>
        <w:t xml:space="preserve"> </w:t>
      </w:r>
      <w:r w:rsidRPr="00492F7A">
        <w:rPr>
          <w:rFonts w:eastAsia="Times New Roman" w:cstheme="minorHAnsi"/>
          <w:sz w:val="24"/>
          <w:szCs w:val="24"/>
        </w:rPr>
        <w:t>Około</w:t>
      </w:r>
      <w:r w:rsidR="008A754B" w:rsidRPr="00492F7A">
        <w:rPr>
          <w:rFonts w:eastAsia="Times New Roman" w:cstheme="minorHAnsi"/>
          <w:sz w:val="24"/>
          <w:szCs w:val="24"/>
        </w:rPr>
        <w:t xml:space="preserve"> 15% wydatków szpitalnych można przypisać kosztom związanym z brakiem bezpieczeństwa</w:t>
      </w:r>
      <w:r w:rsidR="0060471A" w:rsidRPr="00492F7A">
        <w:rPr>
          <w:rFonts w:eastAsia="Times New Roman" w:cstheme="minorHAnsi"/>
          <w:sz w:val="24"/>
          <w:szCs w:val="24"/>
        </w:rPr>
        <w:t xml:space="preserve">. </w:t>
      </w:r>
      <w:r w:rsidR="005A75FD" w:rsidRPr="00492F7A">
        <w:rPr>
          <w:rFonts w:eastAsia="Times New Roman" w:cstheme="minorHAnsi"/>
          <w:sz w:val="24"/>
          <w:szCs w:val="24"/>
        </w:rPr>
        <w:t>Tymczasem k</w:t>
      </w:r>
      <w:r w:rsidR="008A754B" w:rsidRPr="00492F7A">
        <w:rPr>
          <w:rFonts w:eastAsia="Times New Roman" w:cstheme="minorHAnsi"/>
          <w:sz w:val="24"/>
          <w:szCs w:val="24"/>
        </w:rPr>
        <w:t xml:space="preserve">oszty prewencji zdarzeń niepożądanych są niższe niż koszty </w:t>
      </w:r>
      <w:r w:rsidR="005A75FD" w:rsidRPr="00492F7A">
        <w:rPr>
          <w:rFonts w:eastAsia="Times New Roman" w:cstheme="minorHAnsi"/>
          <w:sz w:val="24"/>
          <w:szCs w:val="24"/>
        </w:rPr>
        <w:t>wynikłych z nich szkód</w:t>
      </w:r>
      <w:r w:rsidR="005A75FD" w:rsidRPr="00492F7A">
        <w:rPr>
          <w:rStyle w:val="Odwoanieprzypisudolnego"/>
          <w:rFonts w:eastAsia="Times New Roman" w:cstheme="minorHAnsi"/>
          <w:sz w:val="24"/>
          <w:szCs w:val="24"/>
        </w:rPr>
        <w:footnoteReference w:id="2"/>
      </w:r>
      <w:r w:rsidR="005A75FD" w:rsidRPr="00492F7A">
        <w:rPr>
          <w:rFonts w:eastAsia="Times New Roman" w:cstheme="minorHAnsi"/>
          <w:sz w:val="24"/>
          <w:szCs w:val="24"/>
        </w:rPr>
        <w:t>.</w:t>
      </w:r>
      <w:r w:rsidR="00640DB6">
        <w:rPr>
          <w:rFonts w:eastAsia="Times New Roman" w:cstheme="minorHAnsi"/>
          <w:sz w:val="24"/>
          <w:szCs w:val="24"/>
        </w:rPr>
        <w:t xml:space="preserve"> </w:t>
      </w:r>
      <w:r w:rsidR="005A75FD" w:rsidRPr="00492F7A">
        <w:rPr>
          <w:rFonts w:eastAsia="Times New Roman" w:cstheme="minorHAnsi"/>
          <w:sz w:val="24"/>
          <w:szCs w:val="24"/>
        </w:rPr>
        <w:t>J</w:t>
      </w:r>
      <w:r w:rsidR="008A754B" w:rsidRPr="00492F7A">
        <w:rPr>
          <w:rFonts w:eastAsia="Times New Roman" w:cstheme="minorHAnsi"/>
          <w:sz w:val="24"/>
          <w:szCs w:val="24"/>
        </w:rPr>
        <w:t xml:space="preserve">akość i bezpieczeństwo opieki zdrowotnej stanowią podstawowy wymiar  i istotne wyzwanie dla każdego systemu ochrony zdrowia, </w:t>
      </w:r>
      <w:r w:rsidR="005A75FD" w:rsidRPr="00492F7A">
        <w:rPr>
          <w:rFonts w:eastAsia="Times New Roman" w:cstheme="minorHAnsi"/>
          <w:sz w:val="24"/>
          <w:szCs w:val="24"/>
        </w:rPr>
        <w:t xml:space="preserve">zaś </w:t>
      </w:r>
      <w:r w:rsidR="008A754B" w:rsidRPr="00492F7A">
        <w:rPr>
          <w:rFonts w:eastAsia="Times New Roman" w:cstheme="minorHAnsi"/>
          <w:sz w:val="24"/>
          <w:szCs w:val="24"/>
        </w:rPr>
        <w:t>edukacja kadry medycznej w tym zakresie jest ważnym elementem działań, jakie należy podejmować w celu poprawy świadczonej opieki</w:t>
      </w:r>
      <w:r w:rsidR="005A75FD" w:rsidRPr="00492F7A">
        <w:rPr>
          <w:rFonts w:eastAsia="Times New Roman" w:cstheme="minorHAnsi"/>
          <w:sz w:val="24"/>
          <w:szCs w:val="24"/>
        </w:rPr>
        <w:t xml:space="preserve">. </w:t>
      </w:r>
    </w:p>
    <w:p w14:paraId="44492884" w14:textId="7A3A365D" w:rsidR="008A754B" w:rsidRPr="00492F7A" w:rsidRDefault="005A75FD" w:rsidP="00492F7A">
      <w:pPr>
        <w:spacing w:before="120"/>
        <w:jc w:val="both"/>
        <w:rPr>
          <w:rFonts w:eastAsia="Times New Roman" w:cstheme="minorHAnsi"/>
          <w:b/>
          <w:sz w:val="24"/>
          <w:szCs w:val="24"/>
        </w:rPr>
      </w:pPr>
      <w:r w:rsidRPr="00492F7A">
        <w:rPr>
          <w:rFonts w:eastAsia="Times New Roman" w:cstheme="minorHAnsi"/>
          <w:b/>
          <w:sz w:val="24"/>
          <w:szCs w:val="24"/>
        </w:rPr>
        <w:t xml:space="preserve">W związku z tym niezbędne jest </w:t>
      </w:r>
      <w:r w:rsidR="008A754B" w:rsidRPr="00492F7A">
        <w:rPr>
          <w:rFonts w:eastAsia="Times New Roman" w:cstheme="minorHAnsi"/>
          <w:b/>
          <w:sz w:val="24"/>
          <w:szCs w:val="24"/>
        </w:rPr>
        <w:t>s</w:t>
      </w:r>
      <w:r w:rsidR="008A754B" w:rsidRPr="00492F7A">
        <w:rPr>
          <w:rFonts w:cstheme="minorHAnsi"/>
          <w:b/>
          <w:sz w:val="24"/>
          <w:szCs w:val="24"/>
        </w:rPr>
        <w:t xml:space="preserve">tworzenie warunków sprzyjających zgłaszaniu zdarzeń niepożądanych i wprowadzaniu rozwiązań poprawy bezpieczeństwa pacjenta i personelu medycznego poprzez: </w:t>
      </w:r>
    </w:p>
    <w:p w14:paraId="45A42D9D" w14:textId="444F576F" w:rsidR="008A754B" w:rsidRPr="00492F7A" w:rsidRDefault="0060471A" w:rsidP="00492F7A">
      <w:pPr>
        <w:pStyle w:val="Akapitzlist"/>
        <w:numPr>
          <w:ilvl w:val="0"/>
          <w:numId w:val="8"/>
        </w:numPr>
        <w:ind w:left="709" w:hanging="283"/>
        <w:jc w:val="both"/>
        <w:rPr>
          <w:rFonts w:cstheme="minorHAnsi"/>
          <w:sz w:val="24"/>
          <w:szCs w:val="24"/>
        </w:rPr>
      </w:pPr>
      <w:r w:rsidRPr="00492F7A">
        <w:rPr>
          <w:rFonts w:cstheme="minorHAnsi"/>
          <w:sz w:val="24"/>
          <w:szCs w:val="24"/>
        </w:rPr>
        <w:t>W</w:t>
      </w:r>
      <w:r w:rsidR="008A754B" w:rsidRPr="00492F7A">
        <w:rPr>
          <w:rFonts w:cstheme="minorHAnsi"/>
          <w:sz w:val="24"/>
          <w:szCs w:val="24"/>
        </w:rPr>
        <w:t xml:space="preserve">prowadzenie rozwiązań prawnych, zapewniających brak sankcji wobec osób zgłaszających zdarzenia niepożądane. </w:t>
      </w:r>
    </w:p>
    <w:p w14:paraId="4676BBD2" w14:textId="76411AB3" w:rsidR="008A754B" w:rsidRPr="00492F7A" w:rsidRDefault="005A75FD" w:rsidP="00492F7A">
      <w:pPr>
        <w:pStyle w:val="Akapitzlist"/>
        <w:numPr>
          <w:ilvl w:val="0"/>
          <w:numId w:val="8"/>
        </w:numPr>
        <w:ind w:left="709" w:hanging="283"/>
        <w:jc w:val="both"/>
        <w:rPr>
          <w:rFonts w:cstheme="minorHAnsi"/>
          <w:sz w:val="24"/>
          <w:szCs w:val="24"/>
        </w:rPr>
      </w:pPr>
      <w:r w:rsidRPr="00492F7A">
        <w:rPr>
          <w:rFonts w:cstheme="minorHAnsi"/>
          <w:sz w:val="24"/>
          <w:szCs w:val="24"/>
        </w:rPr>
        <w:t>Reformę</w:t>
      </w:r>
      <w:r w:rsidR="0060471A" w:rsidRPr="00492F7A">
        <w:rPr>
          <w:rFonts w:cstheme="minorHAnsi"/>
          <w:sz w:val="24"/>
          <w:szCs w:val="24"/>
        </w:rPr>
        <w:t xml:space="preserve"> istniejącego, lecz niesprawnego, systemu</w:t>
      </w:r>
      <w:r w:rsidR="008A754B" w:rsidRPr="00492F7A">
        <w:rPr>
          <w:rFonts w:cstheme="minorHAnsi"/>
          <w:sz w:val="24"/>
          <w:szCs w:val="24"/>
        </w:rPr>
        <w:t xml:space="preserve"> odszkodowań za zdarzenia niepożądane w formie „no </w:t>
      </w:r>
      <w:proofErr w:type="spellStart"/>
      <w:r w:rsidR="008A754B" w:rsidRPr="00492F7A">
        <w:rPr>
          <w:rFonts w:cstheme="minorHAnsi"/>
          <w:sz w:val="24"/>
          <w:szCs w:val="24"/>
        </w:rPr>
        <w:t>fault</w:t>
      </w:r>
      <w:proofErr w:type="spellEnd"/>
      <w:r w:rsidR="008A754B" w:rsidRPr="00492F7A">
        <w:rPr>
          <w:rFonts w:cstheme="minorHAnsi"/>
          <w:sz w:val="24"/>
          <w:szCs w:val="24"/>
        </w:rPr>
        <w:t>”, czyli systemu nakierowanego na szybkie uzyskiwanie odszkodowań bez orzekania o winie</w:t>
      </w:r>
      <w:r w:rsidR="0060471A" w:rsidRPr="00492F7A">
        <w:rPr>
          <w:rFonts w:cstheme="minorHAnsi"/>
          <w:sz w:val="24"/>
          <w:szCs w:val="24"/>
        </w:rPr>
        <w:t>.</w:t>
      </w:r>
      <w:r w:rsidR="008A754B" w:rsidRPr="00492F7A">
        <w:rPr>
          <w:rFonts w:cstheme="minorHAnsi"/>
          <w:sz w:val="24"/>
          <w:szCs w:val="24"/>
        </w:rPr>
        <w:t xml:space="preserve"> </w:t>
      </w:r>
    </w:p>
    <w:p w14:paraId="541054AF" w14:textId="2F854D52" w:rsidR="008A754B" w:rsidRPr="00492F7A" w:rsidRDefault="0060471A" w:rsidP="00492F7A">
      <w:pPr>
        <w:pStyle w:val="Akapitzlist"/>
        <w:numPr>
          <w:ilvl w:val="0"/>
          <w:numId w:val="8"/>
        </w:numPr>
        <w:ind w:left="709" w:hanging="283"/>
        <w:jc w:val="both"/>
        <w:rPr>
          <w:rFonts w:cstheme="minorHAnsi"/>
          <w:sz w:val="24"/>
          <w:szCs w:val="24"/>
        </w:rPr>
      </w:pPr>
      <w:r w:rsidRPr="00492F7A">
        <w:rPr>
          <w:rFonts w:cstheme="minorHAnsi"/>
          <w:sz w:val="24"/>
          <w:szCs w:val="24"/>
        </w:rPr>
        <w:t>O</w:t>
      </w:r>
      <w:r w:rsidR="008A754B" w:rsidRPr="00492F7A">
        <w:rPr>
          <w:rFonts w:cstheme="minorHAnsi"/>
          <w:sz w:val="24"/>
          <w:szCs w:val="24"/>
        </w:rPr>
        <w:t>graniczenie dostępu do dokumentacji powstałej w ramach analizy zdarzeń niepożądanych</w:t>
      </w:r>
      <w:r w:rsidRPr="00492F7A">
        <w:rPr>
          <w:rFonts w:cstheme="minorHAnsi"/>
          <w:sz w:val="24"/>
          <w:szCs w:val="24"/>
        </w:rPr>
        <w:t>.</w:t>
      </w:r>
    </w:p>
    <w:p w14:paraId="118D9EE9" w14:textId="5C5FCCCD" w:rsidR="008A754B" w:rsidRPr="00492F7A" w:rsidRDefault="0060471A" w:rsidP="00492F7A">
      <w:pPr>
        <w:pStyle w:val="Akapitzlist"/>
        <w:numPr>
          <w:ilvl w:val="0"/>
          <w:numId w:val="8"/>
        </w:numPr>
        <w:ind w:left="709" w:hanging="283"/>
        <w:jc w:val="both"/>
        <w:rPr>
          <w:rFonts w:cstheme="minorHAnsi"/>
          <w:strike/>
          <w:sz w:val="24"/>
          <w:szCs w:val="24"/>
        </w:rPr>
      </w:pPr>
      <w:r w:rsidRPr="00492F7A">
        <w:rPr>
          <w:rFonts w:cstheme="minorHAnsi"/>
          <w:sz w:val="24"/>
          <w:szCs w:val="24"/>
        </w:rPr>
        <w:t>W</w:t>
      </w:r>
      <w:r w:rsidR="008A754B" w:rsidRPr="00492F7A">
        <w:rPr>
          <w:rFonts w:cstheme="minorHAnsi"/>
          <w:sz w:val="24"/>
          <w:szCs w:val="24"/>
        </w:rPr>
        <w:t xml:space="preserve">prowadzenie krajowego systemu monitorowania zdarzeń niepożądanych, którego celem będzie gromadzenie danych dotyczących liczby i rodzaju zdarzeń niepożądanych w systemie oraz opracowywanie zaleceń minimalizacji ryzyka na poziomie krajowym. </w:t>
      </w:r>
    </w:p>
    <w:p w14:paraId="01160240" w14:textId="23C917EA" w:rsidR="008A754B" w:rsidRPr="00492F7A" w:rsidRDefault="00640DB6" w:rsidP="00492F7A">
      <w:pPr>
        <w:pStyle w:val="Akapitzlist"/>
        <w:numPr>
          <w:ilvl w:val="0"/>
          <w:numId w:val="8"/>
        </w:numPr>
        <w:ind w:left="709" w:hanging="283"/>
        <w:jc w:val="both"/>
        <w:rPr>
          <w:rFonts w:cstheme="minorHAnsi"/>
          <w:sz w:val="24"/>
          <w:szCs w:val="24"/>
        </w:rPr>
      </w:pPr>
      <w:r>
        <w:rPr>
          <w:rFonts w:cstheme="minorHAnsi"/>
          <w:sz w:val="24"/>
          <w:szCs w:val="24"/>
        </w:rPr>
        <w:t>Zawarc</w:t>
      </w:r>
      <w:r w:rsidR="008A754B" w:rsidRPr="00492F7A">
        <w:rPr>
          <w:rFonts w:cstheme="minorHAnsi"/>
          <w:sz w:val="24"/>
          <w:szCs w:val="24"/>
        </w:rPr>
        <w:t xml:space="preserve">ie tematyki bezpieczeństwa pacjenta i poprawy jakości w </w:t>
      </w:r>
      <w:r>
        <w:rPr>
          <w:rFonts w:cstheme="minorHAnsi"/>
          <w:sz w:val="24"/>
          <w:szCs w:val="24"/>
        </w:rPr>
        <w:t xml:space="preserve">kształceniu medycznym, tak </w:t>
      </w:r>
      <w:proofErr w:type="spellStart"/>
      <w:r w:rsidRPr="00492F7A">
        <w:rPr>
          <w:rFonts w:cstheme="minorHAnsi"/>
          <w:sz w:val="24"/>
          <w:szCs w:val="24"/>
        </w:rPr>
        <w:t>przeddyplomow</w:t>
      </w:r>
      <w:r>
        <w:rPr>
          <w:rFonts w:cstheme="minorHAnsi"/>
          <w:sz w:val="24"/>
          <w:szCs w:val="24"/>
        </w:rPr>
        <w:t>ym</w:t>
      </w:r>
      <w:proofErr w:type="spellEnd"/>
      <w:r>
        <w:rPr>
          <w:rFonts w:cstheme="minorHAnsi"/>
          <w:sz w:val="24"/>
          <w:szCs w:val="24"/>
        </w:rPr>
        <w:t>, jak i podyplomowym i ustawicznym</w:t>
      </w:r>
      <w:r w:rsidR="0060471A" w:rsidRPr="00492F7A">
        <w:rPr>
          <w:rFonts w:cstheme="minorHAnsi"/>
          <w:sz w:val="24"/>
          <w:szCs w:val="24"/>
        </w:rPr>
        <w:t>.</w:t>
      </w:r>
    </w:p>
    <w:p w14:paraId="44610E2B" w14:textId="3F5CE231" w:rsidR="008A754B" w:rsidRPr="00492F7A" w:rsidRDefault="0060471A" w:rsidP="00492F7A">
      <w:pPr>
        <w:pStyle w:val="Akapitzlist"/>
        <w:numPr>
          <w:ilvl w:val="0"/>
          <w:numId w:val="8"/>
        </w:numPr>
        <w:ind w:left="709" w:hanging="283"/>
        <w:jc w:val="both"/>
        <w:rPr>
          <w:rFonts w:cstheme="minorHAnsi"/>
          <w:sz w:val="24"/>
          <w:szCs w:val="24"/>
        </w:rPr>
      </w:pPr>
      <w:r w:rsidRPr="00492F7A">
        <w:rPr>
          <w:rFonts w:cstheme="minorHAnsi"/>
          <w:sz w:val="24"/>
          <w:szCs w:val="24"/>
        </w:rPr>
        <w:lastRenderedPageBreak/>
        <w:t>Z</w:t>
      </w:r>
      <w:r w:rsidR="008A754B" w:rsidRPr="00492F7A">
        <w:rPr>
          <w:rFonts w:cstheme="minorHAnsi"/>
          <w:sz w:val="24"/>
          <w:szCs w:val="24"/>
        </w:rPr>
        <w:t xml:space="preserve">ainicjowanie podnoszenia świadomości pacjentów na temat zdarzeń niepożądanych poprzez </w:t>
      </w:r>
      <w:r w:rsidR="00640DB6">
        <w:rPr>
          <w:rFonts w:cstheme="minorHAnsi"/>
          <w:sz w:val="24"/>
          <w:szCs w:val="24"/>
        </w:rPr>
        <w:t>stopniowe wprowadzenie możliwości ich</w:t>
      </w:r>
      <w:r w:rsidR="008A754B" w:rsidRPr="00492F7A">
        <w:rPr>
          <w:rFonts w:cstheme="minorHAnsi"/>
          <w:sz w:val="24"/>
          <w:szCs w:val="24"/>
        </w:rPr>
        <w:t xml:space="preserve"> udziału w systemie zgłaszania zdarzeń. </w:t>
      </w:r>
    </w:p>
    <w:p w14:paraId="15ECBE9A" w14:textId="77777777" w:rsidR="008A754B" w:rsidRPr="00492F7A" w:rsidRDefault="008A754B" w:rsidP="00492F7A">
      <w:pPr>
        <w:pStyle w:val="Akapitzlist"/>
        <w:ind w:left="1800"/>
        <w:jc w:val="both"/>
        <w:rPr>
          <w:rFonts w:cstheme="minorHAnsi"/>
          <w:sz w:val="24"/>
          <w:szCs w:val="24"/>
        </w:rPr>
      </w:pPr>
    </w:p>
    <w:p w14:paraId="7011A109" w14:textId="075A0AA1" w:rsidR="00702334" w:rsidRPr="00492F7A" w:rsidRDefault="00492F7A" w:rsidP="00492F7A">
      <w:pPr>
        <w:pStyle w:val="Nagwek1"/>
        <w:numPr>
          <w:ilvl w:val="0"/>
          <w:numId w:val="17"/>
        </w:numPr>
        <w:spacing w:line="276" w:lineRule="auto"/>
        <w:jc w:val="both"/>
        <w:rPr>
          <w:rFonts w:asciiTheme="minorHAnsi" w:hAnsiTheme="minorHAnsi" w:cstheme="minorHAnsi"/>
          <w:b/>
          <w:sz w:val="24"/>
          <w:szCs w:val="24"/>
        </w:rPr>
      </w:pPr>
      <w:r w:rsidRPr="00492F7A">
        <w:rPr>
          <w:rFonts w:asciiTheme="minorHAnsi" w:hAnsiTheme="minorHAnsi" w:cstheme="minorHAnsi"/>
          <w:b/>
          <w:sz w:val="24"/>
          <w:szCs w:val="24"/>
        </w:rPr>
        <w:t>REKOMENDACJE DLA SYSTEMU ZDROWIA PUBLICZNEGO Z DEBATY „WSPÓLNIE DLA ZDROWIA”:</w:t>
      </w:r>
    </w:p>
    <w:p w14:paraId="1313A060" w14:textId="77777777" w:rsidR="00492F7A" w:rsidRDefault="00492F7A" w:rsidP="00492F7A">
      <w:pPr>
        <w:rPr>
          <w:lang w:eastAsia="pl-PL"/>
        </w:rPr>
      </w:pPr>
    </w:p>
    <w:p w14:paraId="21084772" w14:textId="290AB59D" w:rsidR="00EC1FAC" w:rsidRPr="004A1DA6" w:rsidRDefault="00EC1FAC" w:rsidP="00EC1FAC">
      <w:pPr>
        <w:pStyle w:val="Nagwek1"/>
        <w:spacing w:line="276" w:lineRule="auto"/>
        <w:jc w:val="both"/>
        <w:rPr>
          <w:rFonts w:asciiTheme="minorHAnsi" w:hAnsiTheme="minorHAnsi" w:cstheme="minorHAnsi"/>
          <w:b/>
          <w:color w:val="auto"/>
          <w:sz w:val="24"/>
          <w:szCs w:val="24"/>
        </w:rPr>
      </w:pPr>
      <w:r w:rsidRPr="004A1DA6">
        <w:rPr>
          <w:rFonts w:asciiTheme="minorHAnsi" w:hAnsiTheme="minorHAnsi" w:cstheme="minorHAnsi"/>
          <w:b/>
          <w:color w:val="auto"/>
          <w:sz w:val="24"/>
          <w:szCs w:val="24"/>
        </w:rPr>
        <w:t>Główne wyzwania dla systemu zdrowia publicznego w Polsce</w:t>
      </w:r>
    </w:p>
    <w:p w14:paraId="55A9AE43" w14:textId="77777777" w:rsidR="00EC1FAC" w:rsidRPr="00492F7A" w:rsidRDefault="00EC1FAC" w:rsidP="00EC1FAC">
      <w:pPr>
        <w:jc w:val="both"/>
        <w:rPr>
          <w:rFonts w:cstheme="minorHAnsi"/>
          <w:sz w:val="24"/>
          <w:szCs w:val="24"/>
        </w:rPr>
      </w:pPr>
    </w:p>
    <w:p w14:paraId="698F35FA" w14:textId="25813504" w:rsidR="00EC1FAC" w:rsidRPr="00492F7A" w:rsidRDefault="00D15A38" w:rsidP="00EC1FAC">
      <w:pPr>
        <w:spacing w:after="120"/>
        <w:jc w:val="both"/>
        <w:rPr>
          <w:rFonts w:cstheme="minorHAnsi"/>
          <w:sz w:val="24"/>
          <w:szCs w:val="24"/>
        </w:rPr>
      </w:pPr>
      <w:r>
        <w:rPr>
          <w:rFonts w:cstheme="minorHAnsi"/>
          <w:sz w:val="24"/>
          <w:szCs w:val="24"/>
        </w:rPr>
        <w:t>W</w:t>
      </w:r>
      <w:r w:rsidR="00EC1FAC" w:rsidRPr="00492F7A">
        <w:rPr>
          <w:rFonts w:cstheme="minorHAnsi"/>
          <w:sz w:val="24"/>
          <w:szCs w:val="24"/>
        </w:rPr>
        <w:t xml:space="preserve"> dotychczasowej dyskusji ekspertów zdrowia publicznego oraz w </w:t>
      </w:r>
      <w:r>
        <w:rPr>
          <w:rFonts w:cstheme="minorHAnsi"/>
          <w:sz w:val="24"/>
          <w:szCs w:val="24"/>
        </w:rPr>
        <w:t>opinii</w:t>
      </w:r>
      <w:r w:rsidR="00EC1FAC" w:rsidRPr="00492F7A">
        <w:rPr>
          <w:rFonts w:cstheme="minorHAnsi"/>
          <w:sz w:val="24"/>
          <w:szCs w:val="24"/>
        </w:rPr>
        <w:t xml:space="preserve"> autorów wielu opracowań</w:t>
      </w:r>
      <w:r w:rsidR="00EC1FAC" w:rsidRPr="00492F7A">
        <w:rPr>
          <w:rStyle w:val="Odwoanieprzypisudolnego"/>
          <w:rFonts w:cstheme="minorHAnsi"/>
          <w:sz w:val="24"/>
          <w:szCs w:val="24"/>
        </w:rPr>
        <w:footnoteReference w:id="3"/>
      </w:r>
      <w:r w:rsidR="00EC1FAC" w:rsidRPr="00492F7A">
        <w:rPr>
          <w:rFonts w:cstheme="minorHAnsi"/>
          <w:sz w:val="24"/>
          <w:szCs w:val="24"/>
        </w:rPr>
        <w:t xml:space="preserve"> zdefiniowane zostały główne potrzeby </w:t>
      </w:r>
      <w:r>
        <w:rPr>
          <w:rFonts w:cstheme="minorHAnsi"/>
          <w:sz w:val="24"/>
          <w:szCs w:val="24"/>
        </w:rPr>
        <w:t xml:space="preserve">skutecznego </w:t>
      </w:r>
      <w:r w:rsidR="00EC1FAC" w:rsidRPr="00492F7A">
        <w:rPr>
          <w:rFonts w:cstheme="minorHAnsi"/>
          <w:sz w:val="24"/>
          <w:szCs w:val="24"/>
        </w:rPr>
        <w:t>systemu zdrowia publicznego:</w:t>
      </w:r>
    </w:p>
    <w:p w14:paraId="36169867" w14:textId="68DBA228" w:rsidR="00EC1FAC" w:rsidRPr="00492F7A" w:rsidRDefault="00EC1FAC" w:rsidP="00EC1FAC">
      <w:pPr>
        <w:pStyle w:val="Akapitzlist"/>
        <w:numPr>
          <w:ilvl w:val="0"/>
          <w:numId w:val="22"/>
        </w:numPr>
        <w:spacing w:after="120"/>
        <w:jc w:val="both"/>
        <w:rPr>
          <w:rFonts w:cstheme="minorHAnsi"/>
          <w:sz w:val="24"/>
          <w:szCs w:val="24"/>
        </w:rPr>
      </w:pPr>
      <w:r w:rsidRPr="00492F7A">
        <w:rPr>
          <w:rFonts w:cstheme="minorHAnsi"/>
          <w:sz w:val="24"/>
          <w:szCs w:val="24"/>
        </w:rPr>
        <w:t>konieczność określenia pakietu świadczeń profilaktycznych i innych świadczeń zdrowia publicznego opartych na dowodach naukowych i spełniających kryterium zapewnienia równego dostępu,</w:t>
      </w:r>
    </w:p>
    <w:p w14:paraId="1BE1866E" w14:textId="516D28B1" w:rsidR="00EC1FAC" w:rsidRPr="00492F7A" w:rsidRDefault="00EC1FAC" w:rsidP="00EC1FAC">
      <w:pPr>
        <w:pStyle w:val="Akapitzlist"/>
        <w:numPr>
          <w:ilvl w:val="0"/>
          <w:numId w:val="22"/>
        </w:numPr>
        <w:spacing w:after="120"/>
        <w:jc w:val="both"/>
        <w:rPr>
          <w:rFonts w:cstheme="minorHAnsi"/>
          <w:sz w:val="24"/>
          <w:szCs w:val="24"/>
        </w:rPr>
      </w:pPr>
      <w:r w:rsidRPr="00492F7A">
        <w:rPr>
          <w:rFonts w:cstheme="minorHAnsi"/>
          <w:sz w:val="24"/>
          <w:szCs w:val="24"/>
        </w:rPr>
        <w:t>zapewnienie systemowego wsparcia (merytoryczne</w:t>
      </w:r>
      <w:r w:rsidR="00D15A38">
        <w:rPr>
          <w:rFonts w:cstheme="minorHAnsi"/>
          <w:sz w:val="24"/>
          <w:szCs w:val="24"/>
        </w:rPr>
        <w:t>go</w:t>
      </w:r>
      <w:r w:rsidRPr="00492F7A">
        <w:rPr>
          <w:rFonts w:cstheme="minorHAnsi"/>
          <w:sz w:val="24"/>
          <w:szCs w:val="24"/>
        </w:rPr>
        <w:t xml:space="preserve"> i finansowe</w:t>
      </w:r>
      <w:r w:rsidR="00D15A38">
        <w:rPr>
          <w:rFonts w:cstheme="minorHAnsi"/>
          <w:sz w:val="24"/>
          <w:szCs w:val="24"/>
        </w:rPr>
        <w:t>go</w:t>
      </w:r>
      <w:r w:rsidRPr="00492F7A">
        <w:rPr>
          <w:rFonts w:cstheme="minorHAnsi"/>
          <w:sz w:val="24"/>
          <w:szCs w:val="24"/>
        </w:rPr>
        <w:t>) dla jednostek samorządu terytori</w:t>
      </w:r>
      <w:r w:rsidR="00D15A38">
        <w:rPr>
          <w:rFonts w:cstheme="minorHAnsi"/>
          <w:sz w:val="24"/>
          <w:szCs w:val="24"/>
        </w:rPr>
        <w:t xml:space="preserve">alnego </w:t>
      </w:r>
      <w:r w:rsidR="00640DB6">
        <w:rPr>
          <w:rFonts w:cstheme="minorHAnsi"/>
          <w:sz w:val="24"/>
          <w:szCs w:val="24"/>
        </w:rPr>
        <w:t xml:space="preserve">(JST) </w:t>
      </w:r>
      <w:r w:rsidR="00D15A38">
        <w:rPr>
          <w:rFonts w:cstheme="minorHAnsi"/>
          <w:sz w:val="24"/>
          <w:szCs w:val="24"/>
        </w:rPr>
        <w:t>w planowaniu, wdrażaniu oraz</w:t>
      </w:r>
      <w:r w:rsidRPr="00492F7A">
        <w:rPr>
          <w:rFonts w:cstheme="minorHAnsi"/>
          <w:sz w:val="24"/>
          <w:szCs w:val="24"/>
        </w:rPr>
        <w:t xml:space="preserve"> ewaluacji działań prozdrowotnych,</w:t>
      </w:r>
    </w:p>
    <w:p w14:paraId="35EEE9BA" w14:textId="7447A53D" w:rsidR="00EC1FAC" w:rsidRPr="00492F7A" w:rsidRDefault="00D15A38" w:rsidP="00EC1FAC">
      <w:pPr>
        <w:pStyle w:val="Akapitzlist"/>
        <w:numPr>
          <w:ilvl w:val="0"/>
          <w:numId w:val="22"/>
        </w:numPr>
        <w:spacing w:after="120"/>
        <w:jc w:val="both"/>
        <w:rPr>
          <w:rFonts w:cstheme="minorHAnsi"/>
          <w:sz w:val="24"/>
          <w:szCs w:val="24"/>
        </w:rPr>
      </w:pPr>
      <w:r>
        <w:rPr>
          <w:rFonts w:cstheme="minorHAnsi"/>
          <w:sz w:val="24"/>
          <w:szCs w:val="24"/>
        </w:rPr>
        <w:t xml:space="preserve">pokonanie </w:t>
      </w:r>
      <w:r w:rsidR="00EC1FAC" w:rsidRPr="00492F7A">
        <w:rPr>
          <w:rFonts w:cstheme="minorHAnsi"/>
          <w:sz w:val="24"/>
          <w:szCs w:val="24"/>
        </w:rPr>
        <w:t>trudności w skutecznej koordynacji/współpracy działań w obszarze zdrowia publicznego rządu z jednostkami samorządu terytorialnego,</w:t>
      </w:r>
    </w:p>
    <w:p w14:paraId="29894E27" w14:textId="0C0ACED1" w:rsidR="00EC1FAC" w:rsidRPr="00492F7A" w:rsidRDefault="00D15A38" w:rsidP="00EC1FAC">
      <w:pPr>
        <w:pStyle w:val="Akapitzlist"/>
        <w:numPr>
          <w:ilvl w:val="0"/>
          <w:numId w:val="22"/>
        </w:numPr>
        <w:spacing w:after="120"/>
        <w:jc w:val="both"/>
        <w:rPr>
          <w:rFonts w:cstheme="minorHAnsi"/>
          <w:sz w:val="24"/>
          <w:szCs w:val="24"/>
        </w:rPr>
      </w:pPr>
      <w:r>
        <w:rPr>
          <w:rFonts w:cstheme="minorHAnsi"/>
          <w:sz w:val="24"/>
          <w:szCs w:val="24"/>
        </w:rPr>
        <w:t>zdefiniowanie</w:t>
      </w:r>
      <w:r w:rsidR="00EC1FAC" w:rsidRPr="00492F7A">
        <w:rPr>
          <w:rFonts w:cstheme="minorHAnsi"/>
          <w:sz w:val="24"/>
          <w:szCs w:val="24"/>
        </w:rPr>
        <w:t xml:space="preserve"> minimalnej koniecznej/wystarczającej aktywności JST w zdrowiu publicznym, która umożliwiałaby zapewnienie równości w dostępie do świadczeń zdrowia publicznego</w:t>
      </w:r>
    </w:p>
    <w:p w14:paraId="1387EFE2" w14:textId="069460FC" w:rsidR="00EC1FAC" w:rsidRPr="00492F7A" w:rsidRDefault="00D15A38" w:rsidP="00EC1FAC">
      <w:pPr>
        <w:pStyle w:val="Akapitzlist"/>
        <w:numPr>
          <w:ilvl w:val="0"/>
          <w:numId w:val="22"/>
        </w:numPr>
        <w:spacing w:after="120"/>
        <w:jc w:val="both"/>
        <w:rPr>
          <w:rFonts w:cstheme="minorHAnsi"/>
          <w:sz w:val="24"/>
          <w:szCs w:val="24"/>
        </w:rPr>
      </w:pPr>
      <w:r>
        <w:rPr>
          <w:rFonts w:cstheme="minorHAnsi"/>
          <w:sz w:val="24"/>
          <w:szCs w:val="24"/>
        </w:rPr>
        <w:t>precyzyjne określenie</w:t>
      </w:r>
      <w:r w:rsidR="00EC1FAC" w:rsidRPr="00492F7A">
        <w:rPr>
          <w:rFonts w:cstheme="minorHAnsi"/>
          <w:sz w:val="24"/>
          <w:szCs w:val="24"/>
        </w:rPr>
        <w:t xml:space="preserve"> zadań systemu opieki zdrowotnej w zdrowiu publicznym,</w:t>
      </w:r>
    </w:p>
    <w:p w14:paraId="610A700A" w14:textId="501D7151" w:rsidR="00EC1FAC" w:rsidRPr="00492F7A" w:rsidRDefault="00D15A38" w:rsidP="00EC1FAC">
      <w:pPr>
        <w:pStyle w:val="Akapitzlist"/>
        <w:numPr>
          <w:ilvl w:val="0"/>
          <w:numId w:val="22"/>
        </w:numPr>
        <w:spacing w:after="120"/>
        <w:jc w:val="both"/>
        <w:rPr>
          <w:rFonts w:cstheme="minorHAnsi"/>
          <w:sz w:val="24"/>
          <w:szCs w:val="24"/>
        </w:rPr>
      </w:pPr>
      <w:r>
        <w:rPr>
          <w:rFonts w:cstheme="minorHAnsi"/>
          <w:sz w:val="24"/>
          <w:szCs w:val="24"/>
        </w:rPr>
        <w:t>rozróżnienie</w:t>
      </w:r>
      <w:r w:rsidR="00EC1FAC" w:rsidRPr="00492F7A">
        <w:rPr>
          <w:rFonts w:cstheme="minorHAnsi"/>
          <w:sz w:val="24"/>
          <w:szCs w:val="24"/>
        </w:rPr>
        <w:t xml:space="preserve"> kompetencji poszczególnych szczebli JST oraz </w:t>
      </w:r>
      <w:r w:rsidR="00640DB6">
        <w:rPr>
          <w:rFonts w:cstheme="minorHAnsi"/>
          <w:sz w:val="24"/>
          <w:szCs w:val="24"/>
        </w:rPr>
        <w:t>uporządkowanie</w:t>
      </w:r>
      <w:r w:rsidR="00EC1FAC" w:rsidRPr="00492F7A">
        <w:rPr>
          <w:rFonts w:cstheme="minorHAnsi"/>
          <w:sz w:val="24"/>
          <w:szCs w:val="24"/>
        </w:rPr>
        <w:t xml:space="preserve"> finansowania zdrowia publicznego na poziomie JST,</w:t>
      </w:r>
    </w:p>
    <w:p w14:paraId="68791FA6" w14:textId="1D227808" w:rsidR="00EC1FAC" w:rsidRPr="00492F7A" w:rsidRDefault="00D15A38" w:rsidP="00EC1FAC">
      <w:pPr>
        <w:pStyle w:val="Akapitzlist"/>
        <w:numPr>
          <w:ilvl w:val="0"/>
          <w:numId w:val="22"/>
        </w:numPr>
        <w:spacing w:after="120"/>
        <w:jc w:val="both"/>
        <w:rPr>
          <w:rFonts w:cstheme="minorHAnsi"/>
          <w:sz w:val="24"/>
          <w:szCs w:val="24"/>
        </w:rPr>
      </w:pPr>
      <w:r>
        <w:rPr>
          <w:rFonts w:cstheme="minorHAnsi"/>
          <w:sz w:val="24"/>
          <w:szCs w:val="24"/>
        </w:rPr>
        <w:t>uregulowanie kwestii</w:t>
      </w:r>
      <w:r w:rsidR="00EC1FAC" w:rsidRPr="00492F7A">
        <w:rPr>
          <w:rFonts w:cstheme="minorHAnsi"/>
          <w:sz w:val="24"/>
          <w:szCs w:val="24"/>
        </w:rPr>
        <w:t xml:space="preserve"> kadr w zdrowiu pu</w:t>
      </w:r>
      <w:r>
        <w:rPr>
          <w:rFonts w:cstheme="minorHAnsi"/>
          <w:sz w:val="24"/>
          <w:szCs w:val="24"/>
        </w:rPr>
        <w:t>blicznym.</w:t>
      </w:r>
    </w:p>
    <w:p w14:paraId="09C0125A" w14:textId="77777777" w:rsidR="00EC1FAC" w:rsidRPr="00492F7A" w:rsidRDefault="00EC1FAC" w:rsidP="00EC1FAC">
      <w:pPr>
        <w:spacing w:after="120"/>
        <w:jc w:val="both"/>
        <w:rPr>
          <w:rFonts w:cstheme="minorHAnsi"/>
          <w:sz w:val="24"/>
          <w:szCs w:val="24"/>
        </w:rPr>
      </w:pPr>
    </w:p>
    <w:p w14:paraId="4E6389D8" w14:textId="1429B4A1" w:rsidR="00D15A38" w:rsidRDefault="00EC1FAC" w:rsidP="00EC1FAC">
      <w:pPr>
        <w:spacing w:after="120"/>
        <w:jc w:val="both"/>
        <w:rPr>
          <w:rFonts w:cstheme="minorHAnsi"/>
          <w:sz w:val="24"/>
          <w:szCs w:val="24"/>
        </w:rPr>
      </w:pPr>
      <w:r w:rsidRPr="00492F7A">
        <w:rPr>
          <w:rFonts w:cstheme="minorHAnsi"/>
          <w:sz w:val="24"/>
          <w:szCs w:val="24"/>
        </w:rPr>
        <w:t xml:space="preserve">Niezbędne jest (w kontekście ograniczonych zasobów) </w:t>
      </w:r>
      <w:r w:rsidRPr="00492F7A">
        <w:rPr>
          <w:rFonts w:cstheme="minorHAnsi"/>
          <w:b/>
          <w:sz w:val="24"/>
          <w:szCs w:val="24"/>
        </w:rPr>
        <w:t xml:space="preserve">określenie priorytetów </w:t>
      </w:r>
      <w:r w:rsidR="0087520E">
        <w:rPr>
          <w:rFonts w:cstheme="minorHAnsi"/>
          <w:b/>
          <w:sz w:val="24"/>
          <w:szCs w:val="24"/>
        </w:rPr>
        <w:t>działań w zdrowiu publicznym. N</w:t>
      </w:r>
      <w:r w:rsidRPr="00492F7A">
        <w:rPr>
          <w:rFonts w:cstheme="minorHAnsi"/>
          <w:b/>
          <w:sz w:val="24"/>
          <w:szCs w:val="24"/>
        </w:rPr>
        <w:t xml:space="preserve">ależy skoncentrować się wokół strategicznych problemów zdrowia populacji </w:t>
      </w:r>
      <w:r w:rsidRPr="00492F7A">
        <w:rPr>
          <w:rFonts w:cstheme="minorHAnsi"/>
          <w:sz w:val="24"/>
          <w:szCs w:val="24"/>
        </w:rPr>
        <w:t xml:space="preserve">(przewlekłe choroby </w:t>
      </w:r>
      <w:r w:rsidR="0087520E">
        <w:rPr>
          <w:rFonts w:cstheme="minorHAnsi"/>
          <w:sz w:val="24"/>
          <w:szCs w:val="24"/>
        </w:rPr>
        <w:t>o charakterze cywilizacyjnym</w:t>
      </w:r>
      <w:r w:rsidRPr="00492F7A">
        <w:rPr>
          <w:rFonts w:cstheme="minorHAnsi"/>
          <w:sz w:val="24"/>
          <w:szCs w:val="24"/>
        </w:rPr>
        <w:t xml:space="preserve"> i zaburzenia psychiczne). </w:t>
      </w:r>
    </w:p>
    <w:p w14:paraId="288CC184" w14:textId="202810AF" w:rsidR="00EC1FAC" w:rsidRPr="00492F7A" w:rsidRDefault="00EC1FAC" w:rsidP="00EC1FAC">
      <w:pPr>
        <w:spacing w:after="120"/>
        <w:jc w:val="both"/>
        <w:rPr>
          <w:rFonts w:cstheme="minorHAnsi"/>
          <w:sz w:val="24"/>
          <w:szCs w:val="24"/>
        </w:rPr>
      </w:pPr>
      <w:r w:rsidRPr="00492F7A">
        <w:rPr>
          <w:rFonts w:cstheme="minorHAnsi"/>
          <w:sz w:val="24"/>
          <w:szCs w:val="24"/>
        </w:rPr>
        <w:t xml:space="preserve">Podstawowymi celami działań prozdrowotnych w najszerszym ujęciu powinno być wydłużanie życia oraz wydłużanie życia w zdrowiu. Należy również zmapować interwencje już </w:t>
      </w:r>
      <w:r w:rsidRPr="00492F7A">
        <w:rPr>
          <w:rFonts w:cstheme="minorHAnsi"/>
          <w:sz w:val="24"/>
          <w:szCs w:val="24"/>
        </w:rPr>
        <w:lastRenderedPageBreak/>
        <w:t xml:space="preserve">realizowane, w szczególności działania najważniejszych aktorów w systemie oraz odpowiedzi na potrzeby zdrowotne w kluczowych problemach (cukrzyca, nowotwory, choroby serca i naczyń). </w:t>
      </w:r>
    </w:p>
    <w:p w14:paraId="3059BC0D" w14:textId="77777777" w:rsidR="00702334" w:rsidRPr="00492F7A" w:rsidRDefault="00702334" w:rsidP="00492F7A">
      <w:pPr>
        <w:jc w:val="both"/>
        <w:rPr>
          <w:rFonts w:cstheme="minorHAnsi"/>
          <w:sz w:val="24"/>
          <w:szCs w:val="24"/>
        </w:rPr>
      </w:pPr>
      <w:r w:rsidRPr="00492F7A">
        <w:rPr>
          <w:rFonts w:cstheme="minorHAnsi"/>
          <w:sz w:val="24"/>
          <w:szCs w:val="24"/>
        </w:rPr>
        <w:t>Mając na względnie następujące uwarunkowania:</w:t>
      </w:r>
    </w:p>
    <w:p w14:paraId="7D900F91" w14:textId="543F7CD6" w:rsidR="00702334" w:rsidRPr="00492F7A" w:rsidRDefault="00702334" w:rsidP="00492F7A">
      <w:pPr>
        <w:pStyle w:val="Akapitzlist"/>
        <w:numPr>
          <w:ilvl w:val="0"/>
          <w:numId w:val="39"/>
        </w:numPr>
        <w:spacing w:after="0"/>
        <w:jc w:val="both"/>
        <w:rPr>
          <w:rFonts w:cstheme="minorHAnsi"/>
          <w:sz w:val="24"/>
          <w:szCs w:val="24"/>
        </w:rPr>
      </w:pPr>
      <w:r w:rsidRPr="00492F7A">
        <w:rPr>
          <w:rFonts w:cstheme="minorHAnsi"/>
          <w:sz w:val="24"/>
          <w:szCs w:val="24"/>
        </w:rPr>
        <w:t xml:space="preserve">prognozy demograficzne i epidemiologiczne wskazujące na konieczność zaspokojenia </w:t>
      </w:r>
      <w:r w:rsidR="00E91F5D">
        <w:rPr>
          <w:rFonts w:cstheme="minorHAnsi"/>
          <w:sz w:val="24"/>
          <w:szCs w:val="24"/>
        </w:rPr>
        <w:t>stale narastając</w:t>
      </w:r>
      <w:r w:rsidRPr="00492F7A">
        <w:rPr>
          <w:rFonts w:cstheme="minorHAnsi"/>
          <w:sz w:val="24"/>
          <w:szCs w:val="24"/>
        </w:rPr>
        <w:t xml:space="preserve">ego </w:t>
      </w:r>
      <w:r w:rsidR="00E91F5D">
        <w:rPr>
          <w:rFonts w:cstheme="minorHAnsi"/>
          <w:sz w:val="24"/>
          <w:szCs w:val="24"/>
        </w:rPr>
        <w:t xml:space="preserve">społecznego </w:t>
      </w:r>
      <w:r w:rsidRPr="00492F7A">
        <w:rPr>
          <w:rFonts w:cstheme="minorHAnsi"/>
          <w:sz w:val="24"/>
          <w:szCs w:val="24"/>
        </w:rPr>
        <w:t>zapotrzebowania na opiekę zdrowotną,</w:t>
      </w:r>
    </w:p>
    <w:p w14:paraId="1AB22D82" w14:textId="22A507D8" w:rsidR="00702334" w:rsidRPr="00492F7A" w:rsidRDefault="00E91F5D" w:rsidP="00492F7A">
      <w:pPr>
        <w:pStyle w:val="Akapitzlist"/>
        <w:numPr>
          <w:ilvl w:val="0"/>
          <w:numId w:val="39"/>
        </w:numPr>
        <w:spacing w:after="0"/>
        <w:jc w:val="both"/>
        <w:rPr>
          <w:rFonts w:cstheme="minorHAnsi"/>
          <w:sz w:val="24"/>
          <w:szCs w:val="24"/>
        </w:rPr>
      </w:pPr>
      <w:r>
        <w:rPr>
          <w:rFonts w:cstheme="minorHAnsi"/>
          <w:sz w:val="24"/>
          <w:szCs w:val="24"/>
        </w:rPr>
        <w:t xml:space="preserve">ustalone </w:t>
      </w:r>
      <w:r w:rsidR="00702334" w:rsidRPr="00492F7A">
        <w:rPr>
          <w:rFonts w:cstheme="minorHAnsi"/>
          <w:sz w:val="24"/>
          <w:szCs w:val="24"/>
        </w:rPr>
        <w:t>obowiązki władz publicznych w zakresie zapewnienia dostępu do ochrony zdrowia, w tym działań prewencyjnych,</w:t>
      </w:r>
    </w:p>
    <w:p w14:paraId="40888335" w14:textId="2E80C9CE" w:rsidR="00702334" w:rsidRPr="00492F7A" w:rsidRDefault="00702334" w:rsidP="00492F7A">
      <w:pPr>
        <w:pStyle w:val="Akapitzlist"/>
        <w:numPr>
          <w:ilvl w:val="0"/>
          <w:numId w:val="39"/>
        </w:numPr>
        <w:spacing w:after="0"/>
        <w:jc w:val="both"/>
        <w:rPr>
          <w:rFonts w:cstheme="minorHAnsi"/>
          <w:sz w:val="24"/>
          <w:szCs w:val="24"/>
        </w:rPr>
      </w:pPr>
      <w:r w:rsidRPr="00492F7A">
        <w:rPr>
          <w:rFonts w:cstheme="minorHAnsi"/>
          <w:sz w:val="24"/>
          <w:szCs w:val="24"/>
        </w:rPr>
        <w:t xml:space="preserve">wnioski z monitorowania działań administracji samorządowej i rządowej </w:t>
      </w:r>
      <w:r w:rsidR="006647A0" w:rsidRPr="00492F7A">
        <w:rPr>
          <w:rFonts w:cstheme="minorHAnsi"/>
          <w:sz w:val="24"/>
          <w:szCs w:val="24"/>
        </w:rPr>
        <w:t xml:space="preserve">powstałe </w:t>
      </w:r>
      <w:r w:rsidRPr="00492F7A">
        <w:rPr>
          <w:rFonts w:cstheme="minorHAnsi"/>
          <w:sz w:val="24"/>
          <w:szCs w:val="24"/>
        </w:rPr>
        <w:t>w ramach realizacji Narodowego Programu Zdrowia,</w:t>
      </w:r>
    </w:p>
    <w:p w14:paraId="501E5DD2" w14:textId="76B335A7" w:rsidR="00702334" w:rsidRPr="00492F7A" w:rsidRDefault="00E91F5D" w:rsidP="00492F7A">
      <w:pPr>
        <w:pStyle w:val="Akapitzlist"/>
        <w:numPr>
          <w:ilvl w:val="0"/>
          <w:numId w:val="39"/>
        </w:numPr>
        <w:spacing w:after="0"/>
        <w:jc w:val="both"/>
        <w:rPr>
          <w:rFonts w:cstheme="minorHAnsi"/>
          <w:sz w:val="24"/>
          <w:szCs w:val="24"/>
        </w:rPr>
      </w:pPr>
      <w:r>
        <w:rPr>
          <w:rFonts w:cstheme="minorHAnsi"/>
          <w:sz w:val="24"/>
          <w:szCs w:val="24"/>
        </w:rPr>
        <w:t>niedostateczną rzetelną ewaluację prowadzonych działań pod kątem</w:t>
      </w:r>
      <w:r w:rsidR="00702334" w:rsidRPr="00492F7A">
        <w:rPr>
          <w:rFonts w:cstheme="minorHAnsi"/>
          <w:sz w:val="24"/>
          <w:szCs w:val="24"/>
        </w:rPr>
        <w:t xml:space="preserve"> oceny ich efektywności,</w:t>
      </w:r>
    </w:p>
    <w:p w14:paraId="38022BC3" w14:textId="3C14BCD3" w:rsidR="00702334" w:rsidRPr="00492F7A" w:rsidRDefault="00702334" w:rsidP="00492F7A">
      <w:pPr>
        <w:pStyle w:val="Akapitzlist"/>
        <w:numPr>
          <w:ilvl w:val="0"/>
          <w:numId w:val="39"/>
        </w:numPr>
        <w:spacing w:after="0"/>
        <w:jc w:val="both"/>
        <w:rPr>
          <w:rFonts w:cstheme="minorHAnsi"/>
          <w:sz w:val="24"/>
          <w:szCs w:val="24"/>
        </w:rPr>
      </w:pPr>
      <w:r w:rsidRPr="00492F7A">
        <w:rPr>
          <w:rFonts w:cstheme="minorHAnsi"/>
          <w:sz w:val="24"/>
          <w:szCs w:val="24"/>
        </w:rPr>
        <w:t>luki w działaniach profilaktycznych na poziomie lokalnym ograniczające realizację równego dostępu</w:t>
      </w:r>
      <w:r w:rsidR="006647A0" w:rsidRPr="00492F7A">
        <w:rPr>
          <w:rFonts w:cstheme="minorHAnsi"/>
          <w:sz w:val="24"/>
          <w:szCs w:val="24"/>
        </w:rPr>
        <w:t xml:space="preserve"> do profilaktyki zdrowotnej</w:t>
      </w:r>
      <w:r w:rsidRPr="00492F7A">
        <w:rPr>
          <w:rFonts w:cstheme="minorHAnsi"/>
          <w:sz w:val="24"/>
          <w:szCs w:val="24"/>
        </w:rPr>
        <w:t>,</w:t>
      </w:r>
    </w:p>
    <w:p w14:paraId="4655B5F3" w14:textId="684E5AED" w:rsidR="00702334" w:rsidRPr="00492F7A" w:rsidRDefault="00702334" w:rsidP="00492F7A">
      <w:pPr>
        <w:pStyle w:val="Akapitzlist"/>
        <w:numPr>
          <w:ilvl w:val="0"/>
          <w:numId w:val="39"/>
        </w:numPr>
        <w:spacing w:after="0"/>
        <w:jc w:val="both"/>
        <w:rPr>
          <w:rFonts w:cstheme="minorHAnsi"/>
          <w:sz w:val="24"/>
          <w:szCs w:val="24"/>
        </w:rPr>
      </w:pPr>
      <w:r w:rsidRPr="00492F7A">
        <w:rPr>
          <w:rFonts w:cstheme="minorHAnsi"/>
          <w:sz w:val="24"/>
          <w:szCs w:val="24"/>
        </w:rPr>
        <w:t>brak jednoznacznie określonych uprawnień i obowiązków administracji publicznej w zakresie profilaktyki chorób i promocji zdrowia</w:t>
      </w:r>
      <w:r w:rsidR="00E91F5D">
        <w:rPr>
          <w:rFonts w:cstheme="minorHAnsi"/>
          <w:sz w:val="24"/>
          <w:szCs w:val="24"/>
        </w:rPr>
        <w:t>,</w:t>
      </w:r>
    </w:p>
    <w:p w14:paraId="105B9B46" w14:textId="77777777" w:rsidR="00E91F5D" w:rsidRDefault="00702334" w:rsidP="00492F7A">
      <w:pPr>
        <w:jc w:val="both"/>
        <w:rPr>
          <w:rFonts w:cstheme="minorHAnsi"/>
          <w:sz w:val="24"/>
          <w:szCs w:val="24"/>
        </w:rPr>
      </w:pPr>
      <w:r w:rsidRPr="00492F7A">
        <w:rPr>
          <w:rFonts w:cstheme="minorHAnsi"/>
          <w:sz w:val="24"/>
          <w:szCs w:val="24"/>
        </w:rPr>
        <w:t xml:space="preserve">niezbędne jest dokonanie gruntownego, </w:t>
      </w:r>
      <w:r w:rsidR="006647A0" w:rsidRPr="00492F7A">
        <w:rPr>
          <w:rFonts w:cstheme="minorHAnsi"/>
          <w:sz w:val="24"/>
          <w:szCs w:val="24"/>
        </w:rPr>
        <w:t>choć</w:t>
      </w:r>
      <w:r w:rsidRPr="00492F7A">
        <w:rPr>
          <w:rFonts w:cstheme="minorHAnsi"/>
          <w:sz w:val="24"/>
          <w:szCs w:val="24"/>
        </w:rPr>
        <w:t xml:space="preserve"> ewolucyjnego</w:t>
      </w:r>
      <w:r w:rsidR="006647A0" w:rsidRPr="00492F7A">
        <w:rPr>
          <w:rFonts w:cstheme="minorHAnsi"/>
          <w:sz w:val="24"/>
          <w:szCs w:val="24"/>
        </w:rPr>
        <w:t>,</w:t>
      </w:r>
      <w:r w:rsidRPr="00492F7A">
        <w:rPr>
          <w:rFonts w:cstheme="minorHAnsi"/>
          <w:sz w:val="24"/>
          <w:szCs w:val="24"/>
        </w:rPr>
        <w:t xml:space="preserve"> przebudowania obecnego systemu profilaktyki cho</w:t>
      </w:r>
      <w:r w:rsidR="00E91F5D">
        <w:rPr>
          <w:rFonts w:cstheme="minorHAnsi"/>
          <w:sz w:val="24"/>
          <w:szCs w:val="24"/>
        </w:rPr>
        <w:t>rób i promocji zdrowia w Polsce.</w:t>
      </w:r>
    </w:p>
    <w:p w14:paraId="7A3620C1" w14:textId="4C84F342" w:rsidR="00702334" w:rsidRPr="00492F7A" w:rsidRDefault="00702334" w:rsidP="00492F7A">
      <w:pPr>
        <w:jc w:val="both"/>
        <w:rPr>
          <w:rFonts w:cstheme="minorHAnsi"/>
          <w:sz w:val="24"/>
          <w:szCs w:val="24"/>
        </w:rPr>
      </w:pPr>
      <w:r w:rsidRPr="00492F7A">
        <w:rPr>
          <w:rFonts w:cstheme="minorHAnsi"/>
          <w:sz w:val="24"/>
          <w:szCs w:val="24"/>
        </w:rPr>
        <w:t>W celu prawidłowego wdrożenia działań polegających na profilaktyce oraz promocji zdrowia, których celem b</w:t>
      </w:r>
      <w:r w:rsidR="00E91F5D">
        <w:rPr>
          <w:rFonts w:cstheme="minorHAnsi"/>
          <w:sz w:val="24"/>
          <w:szCs w:val="24"/>
        </w:rPr>
        <w:t>ędzie wydłużenie życia oraz lat</w:t>
      </w:r>
      <w:r w:rsidRPr="00492F7A">
        <w:rPr>
          <w:rFonts w:cstheme="minorHAnsi"/>
          <w:sz w:val="24"/>
          <w:szCs w:val="24"/>
        </w:rPr>
        <w:t xml:space="preserve"> życia w zdrowiu polskiego społeczeństwa</w:t>
      </w:r>
      <w:r w:rsidR="006647A0" w:rsidRPr="00492F7A">
        <w:rPr>
          <w:rFonts w:cstheme="minorHAnsi"/>
          <w:sz w:val="24"/>
          <w:szCs w:val="24"/>
        </w:rPr>
        <w:t>,</w:t>
      </w:r>
      <w:r w:rsidRPr="00492F7A">
        <w:rPr>
          <w:rFonts w:cstheme="minorHAnsi"/>
          <w:sz w:val="24"/>
          <w:szCs w:val="24"/>
        </w:rPr>
        <w:t xml:space="preserve"> niezbędne jest wdrożenie następujących wytycznych systemowych:</w:t>
      </w:r>
    </w:p>
    <w:p w14:paraId="53CAD06D" w14:textId="4F318953" w:rsidR="00E91F5D" w:rsidRPr="002103D5" w:rsidRDefault="006647A0" w:rsidP="002103D5">
      <w:pPr>
        <w:pStyle w:val="Akapitzlist"/>
        <w:numPr>
          <w:ilvl w:val="0"/>
          <w:numId w:val="40"/>
        </w:numPr>
        <w:spacing w:after="0"/>
        <w:jc w:val="both"/>
        <w:rPr>
          <w:rFonts w:cstheme="minorHAnsi"/>
          <w:sz w:val="24"/>
          <w:szCs w:val="24"/>
        </w:rPr>
      </w:pPr>
      <w:r w:rsidRPr="00492F7A">
        <w:rPr>
          <w:rFonts w:cstheme="minorHAnsi"/>
          <w:b/>
          <w:sz w:val="24"/>
          <w:szCs w:val="24"/>
        </w:rPr>
        <w:t>Z</w:t>
      </w:r>
      <w:r w:rsidR="00702334" w:rsidRPr="00492F7A">
        <w:rPr>
          <w:rFonts w:cstheme="minorHAnsi"/>
          <w:b/>
          <w:sz w:val="24"/>
          <w:szCs w:val="24"/>
        </w:rPr>
        <w:t>apewnienie powszechności dostępu do działań profilaktycznych i promujących zdrowie</w:t>
      </w:r>
      <w:r w:rsidR="00702334" w:rsidRPr="00492F7A">
        <w:rPr>
          <w:rFonts w:cstheme="minorHAnsi"/>
          <w:sz w:val="24"/>
          <w:szCs w:val="24"/>
        </w:rPr>
        <w:t xml:space="preserve"> odpowiadających strukturze chorób cywilizacyjnych i ich determinantom</w:t>
      </w:r>
      <w:r w:rsidR="002103D5">
        <w:rPr>
          <w:rFonts w:cstheme="minorHAnsi"/>
          <w:sz w:val="24"/>
          <w:szCs w:val="24"/>
        </w:rPr>
        <w:t>. Z</w:t>
      </w:r>
      <w:r w:rsidRPr="002103D5">
        <w:rPr>
          <w:rFonts w:cstheme="minorHAnsi"/>
          <w:sz w:val="24"/>
          <w:szCs w:val="24"/>
        </w:rPr>
        <w:t xml:space="preserve">a </w:t>
      </w:r>
      <w:r w:rsidR="00702334" w:rsidRPr="002103D5">
        <w:rPr>
          <w:rFonts w:cstheme="minorHAnsi"/>
          <w:sz w:val="24"/>
          <w:szCs w:val="24"/>
        </w:rPr>
        <w:t xml:space="preserve">priorytetowe należy uznać działania związane z kontrolą chorób układu sercowo-naczyniowego, nowotworów oraz </w:t>
      </w:r>
      <w:r w:rsidR="00E91F5D" w:rsidRPr="002103D5">
        <w:rPr>
          <w:rFonts w:cstheme="minorHAnsi"/>
          <w:sz w:val="24"/>
          <w:szCs w:val="24"/>
        </w:rPr>
        <w:t>chorób mó</w:t>
      </w:r>
      <w:r w:rsidR="00702334" w:rsidRPr="002103D5">
        <w:rPr>
          <w:rFonts w:cstheme="minorHAnsi"/>
          <w:sz w:val="24"/>
          <w:szCs w:val="24"/>
        </w:rPr>
        <w:t>z</w:t>
      </w:r>
      <w:r w:rsidR="00E91F5D" w:rsidRPr="002103D5">
        <w:rPr>
          <w:rFonts w:cstheme="minorHAnsi"/>
          <w:sz w:val="24"/>
          <w:szCs w:val="24"/>
        </w:rPr>
        <w:t xml:space="preserve">gu, </w:t>
      </w:r>
      <w:r w:rsidR="0087520E" w:rsidRPr="002103D5">
        <w:rPr>
          <w:rFonts w:cstheme="minorHAnsi"/>
          <w:sz w:val="24"/>
          <w:szCs w:val="24"/>
        </w:rPr>
        <w:t xml:space="preserve">w tym </w:t>
      </w:r>
      <w:r w:rsidR="00E91F5D" w:rsidRPr="002103D5">
        <w:rPr>
          <w:rFonts w:cstheme="minorHAnsi"/>
          <w:sz w:val="24"/>
          <w:szCs w:val="24"/>
        </w:rPr>
        <w:t>z</w:t>
      </w:r>
      <w:r w:rsidR="00702334" w:rsidRPr="002103D5">
        <w:rPr>
          <w:rFonts w:cstheme="minorHAnsi"/>
          <w:sz w:val="24"/>
          <w:szCs w:val="24"/>
        </w:rPr>
        <w:t>aburzeń zdrowia psychicznego i uzależnień</w:t>
      </w:r>
      <w:r w:rsidR="002103D5">
        <w:rPr>
          <w:rFonts w:cstheme="minorHAnsi"/>
          <w:sz w:val="24"/>
          <w:szCs w:val="24"/>
        </w:rPr>
        <w:t>.</w:t>
      </w:r>
    </w:p>
    <w:p w14:paraId="47F7F81E" w14:textId="0EB11D99" w:rsidR="006647A0" w:rsidRPr="00893EB8" w:rsidRDefault="00384524" w:rsidP="00893EB8">
      <w:pPr>
        <w:pStyle w:val="Akapitzlist"/>
        <w:numPr>
          <w:ilvl w:val="0"/>
          <w:numId w:val="40"/>
        </w:numPr>
        <w:spacing w:after="0"/>
        <w:jc w:val="both"/>
        <w:rPr>
          <w:rFonts w:cstheme="minorHAnsi"/>
          <w:sz w:val="24"/>
          <w:szCs w:val="24"/>
        </w:rPr>
      </w:pPr>
      <w:r>
        <w:rPr>
          <w:rFonts w:cstheme="minorHAnsi"/>
          <w:sz w:val="24"/>
          <w:szCs w:val="24"/>
        </w:rPr>
        <w:t>Uproszczenie</w:t>
      </w:r>
      <w:r w:rsidR="00702334" w:rsidRPr="00E91F5D">
        <w:rPr>
          <w:rFonts w:cstheme="minorHAnsi"/>
          <w:sz w:val="24"/>
          <w:szCs w:val="24"/>
        </w:rPr>
        <w:t xml:space="preserve"> modelu fin</w:t>
      </w:r>
      <w:r>
        <w:rPr>
          <w:rFonts w:cstheme="minorHAnsi"/>
          <w:sz w:val="24"/>
          <w:szCs w:val="24"/>
        </w:rPr>
        <w:t xml:space="preserve">ansowania poszczególnych zadań poprzez </w:t>
      </w:r>
      <w:r w:rsidR="00702334" w:rsidRPr="00E91F5D">
        <w:rPr>
          <w:rFonts w:cstheme="minorHAnsi"/>
          <w:b/>
          <w:sz w:val="24"/>
          <w:szCs w:val="24"/>
        </w:rPr>
        <w:t>konsolidację obecnie wykorzystywanych środków w</w:t>
      </w:r>
      <w:r>
        <w:rPr>
          <w:rFonts w:cstheme="minorHAnsi"/>
          <w:b/>
          <w:sz w:val="24"/>
          <w:szCs w:val="24"/>
        </w:rPr>
        <w:t xml:space="preserve"> jeden</w:t>
      </w:r>
      <w:r w:rsidR="00702334" w:rsidRPr="00E91F5D">
        <w:rPr>
          <w:rFonts w:cstheme="minorHAnsi"/>
          <w:b/>
          <w:sz w:val="24"/>
          <w:szCs w:val="24"/>
        </w:rPr>
        <w:t xml:space="preserve"> „Fundusz Zdrowia Publicznego”, który akumulowałby środki przeznaczane na finansowanie zadań NPZ przez Ministerstwo Zdrowia, profilaktykę uzależnień i szkód wynikających ze spożywania alkoholu, </w:t>
      </w:r>
      <w:r w:rsidR="006647A0" w:rsidRPr="00E91F5D">
        <w:rPr>
          <w:rFonts w:cstheme="minorHAnsi"/>
          <w:b/>
          <w:sz w:val="24"/>
          <w:szCs w:val="24"/>
        </w:rPr>
        <w:t>a także</w:t>
      </w:r>
      <w:r>
        <w:rPr>
          <w:rFonts w:cstheme="minorHAnsi"/>
          <w:b/>
          <w:sz w:val="24"/>
          <w:szCs w:val="24"/>
        </w:rPr>
        <w:t xml:space="preserve"> problemów hazardowych. </w:t>
      </w:r>
      <w:r w:rsidR="00702334" w:rsidRPr="00E91F5D">
        <w:rPr>
          <w:rFonts w:cstheme="minorHAnsi"/>
          <w:b/>
          <w:sz w:val="24"/>
          <w:szCs w:val="24"/>
        </w:rPr>
        <w:t xml:space="preserve"> </w:t>
      </w:r>
      <w:r w:rsidR="00702334" w:rsidRPr="00893EB8">
        <w:rPr>
          <w:rFonts w:cstheme="minorHAnsi"/>
          <w:sz w:val="24"/>
          <w:szCs w:val="24"/>
        </w:rPr>
        <w:t xml:space="preserve">Fundusz </w:t>
      </w:r>
      <w:r w:rsidR="00893EB8">
        <w:rPr>
          <w:rFonts w:cstheme="minorHAnsi"/>
          <w:sz w:val="24"/>
          <w:szCs w:val="24"/>
        </w:rPr>
        <w:t xml:space="preserve">ten </w:t>
      </w:r>
      <w:r w:rsidR="00702334" w:rsidRPr="00893EB8">
        <w:rPr>
          <w:rFonts w:cstheme="minorHAnsi"/>
          <w:sz w:val="24"/>
          <w:szCs w:val="24"/>
        </w:rPr>
        <w:t>zapewni stabilne i długofalowe finansowanie instytucji publicznych tworzący</w:t>
      </w:r>
      <w:r w:rsidR="00893EB8">
        <w:rPr>
          <w:rFonts w:cstheme="minorHAnsi"/>
          <w:sz w:val="24"/>
          <w:szCs w:val="24"/>
        </w:rPr>
        <w:t xml:space="preserve">ch system zdrowia publicznego, </w:t>
      </w:r>
      <w:r w:rsidR="00702334" w:rsidRPr="00893EB8">
        <w:rPr>
          <w:rFonts w:cstheme="minorHAnsi"/>
          <w:sz w:val="24"/>
          <w:szCs w:val="24"/>
        </w:rPr>
        <w:t>szczególnie Państwowej Inspekcji Sanitarnej, instytutów badawczych i agencji rządowych, oraz jednostek samorządu terytorialnego, które mogą w realizacji zadań współpracować z podmiotami leczniczymi czy organizacjami sektora pozarządowego.</w:t>
      </w:r>
      <w:r w:rsidR="00702334" w:rsidRPr="00893EB8">
        <w:rPr>
          <w:rFonts w:cstheme="minorHAnsi"/>
          <w:b/>
          <w:sz w:val="24"/>
          <w:szCs w:val="24"/>
        </w:rPr>
        <w:t xml:space="preserve"> </w:t>
      </w:r>
    </w:p>
    <w:p w14:paraId="7CB26A2A" w14:textId="07CD8704" w:rsidR="006647A0" w:rsidRPr="007337D3" w:rsidRDefault="006647A0" w:rsidP="007337D3">
      <w:pPr>
        <w:pStyle w:val="Akapitzlist"/>
        <w:numPr>
          <w:ilvl w:val="0"/>
          <w:numId w:val="40"/>
        </w:numPr>
        <w:spacing w:after="0"/>
        <w:jc w:val="both"/>
        <w:rPr>
          <w:rFonts w:cstheme="minorHAnsi"/>
          <w:sz w:val="24"/>
          <w:szCs w:val="24"/>
        </w:rPr>
      </w:pPr>
      <w:r w:rsidRPr="00893EB8">
        <w:rPr>
          <w:rFonts w:cstheme="minorHAnsi"/>
          <w:b/>
          <w:sz w:val="24"/>
          <w:szCs w:val="24"/>
        </w:rPr>
        <w:t>Wprowadzenie przedmiotu „Z</w:t>
      </w:r>
      <w:r w:rsidR="00702334" w:rsidRPr="00893EB8">
        <w:rPr>
          <w:rFonts w:cstheme="minorHAnsi"/>
          <w:b/>
          <w:sz w:val="24"/>
          <w:szCs w:val="24"/>
        </w:rPr>
        <w:t xml:space="preserve">drowie” </w:t>
      </w:r>
      <w:r w:rsidRPr="00893EB8">
        <w:rPr>
          <w:rFonts w:cstheme="minorHAnsi"/>
          <w:b/>
          <w:sz w:val="24"/>
          <w:szCs w:val="24"/>
        </w:rPr>
        <w:t>lub „Lekcje</w:t>
      </w:r>
      <w:r w:rsidR="00702334" w:rsidRPr="00893EB8">
        <w:rPr>
          <w:rFonts w:cstheme="minorHAnsi"/>
          <w:b/>
          <w:sz w:val="24"/>
          <w:szCs w:val="24"/>
        </w:rPr>
        <w:t xml:space="preserve"> o zdrowiu” w ramach innych przedmiotów do szkół podstawowych i średnich</w:t>
      </w:r>
      <w:r w:rsidR="00893EB8" w:rsidRPr="00893EB8">
        <w:rPr>
          <w:rFonts w:cstheme="minorHAnsi"/>
          <w:b/>
          <w:sz w:val="24"/>
          <w:szCs w:val="24"/>
        </w:rPr>
        <w:t xml:space="preserve">. </w:t>
      </w:r>
      <w:r w:rsidR="00893EB8" w:rsidRPr="00893EB8">
        <w:rPr>
          <w:rFonts w:cstheme="minorHAnsi"/>
          <w:sz w:val="24"/>
          <w:szCs w:val="24"/>
        </w:rPr>
        <w:t>W</w:t>
      </w:r>
      <w:r w:rsidR="00893EB8">
        <w:rPr>
          <w:rFonts w:cstheme="minorHAnsi"/>
          <w:b/>
          <w:sz w:val="24"/>
          <w:szCs w:val="24"/>
        </w:rPr>
        <w:t xml:space="preserve"> </w:t>
      </w:r>
      <w:r w:rsidR="00702334" w:rsidRPr="00893EB8">
        <w:rPr>
          <w:rFonts w:cstheme="minorHAnsi"/>
          <w:sz w:val="24"/>
          <w:szCs w:val="24"/>
        </w:rPr>
        <w:t xml:space="preserve">jego ramach można będzie zdobyć wiedzę o wpływie </w:t>
      </w:r>
      <w:proofErr w:type="spellStart"/>
      <w:r w:rsidR="00702334" w:rsidRPr="00893EB8">
        <w:rPr>
          <w:rFonts w:cstheme="minorHAnsi"/>
          <w:sz w:val="24"/>
          <w:szCs w:val="24"/>
        </w:rPr>
        <w:t>zachowań</w:t>
      </w:r>
      <w:proofErr w:type="spellEnd"/>
      <w:r w:rsidR="00702334" w:rsidRPr="00893EB8">
        <w:rPr>
          <w:rFonts w:cstheme="minorHAnsi"/>
          <w:sz w:val="24"/>
          <w:szCs w:val="24"/>
        </w:rPr>
        <w:t xml:space="preserve"> i środowiska na zdrowie, informacje o prawach pacjenta oraz o sposobie k</w:t>
      </w:r>
      <w:r w:rsidR="007337D3">
        <w:rPr>
          <w:rFonts w:cstheme="minorHAnsi"/>
          <w:sz w:val="24"/>
          <w:szCs w:val="24"/>
        </w:rPr>
        <w:t xml:space="preserve">orzystania z opieki zdrowotnej. </w:t>
      </w:r>
      <w:r w:rsidR="00E91F5D" w:rsidRPr="007337D3">
        <w:rPr>
          <w:rFonts w:cstheme="minorHAnsi"/>
          <w:sz w:val="24"/>
          <w:szCs w:val="24"/>
        </w:rPr>
        <w:t>Jego p</w:t>
      </w:r>
      <w:r w:rsidR="00702334" w:rsidRPr="007337D3">
        <w:rPr>
          <w:rFonts w:cstheme="minorHAnsi"/>
          <w:sz w:val="24"/>
          <w:szCs w:val="24"/>
        </w:rPr>
        <w:t xml:space="preserve">odstawa programowa musi uwzględniać konieczność budowania kompetencji zdrowotnych, czyli umiejętności pozwalających na wdrożenie zasad zdrowego stylu życia. </w:t>
      </w:r>
    </w:p>
    <w:p w14:paraId="75AB81A4" w14:textId="236C042E" w:rsidR="00E91F5D" w:rsidRDefault="006647A0" w:rsidP="00492F7A">
      <w:pPr>
        <w:pStyle w:val="Akapitzlist"/>
        <w:numPr>
          <w:ilvl w:val="0"/>
          <w:numId w:val="40"/>
        </w:numPr>
        <w:spacing w:after="0"/>
        <w:jc w:val="both"/>
        <w:rPr>
          <w:rFonts w:cstheme="minorHAnsi"/>
          <w:sz w:val="24"/>
          <w:szCs w:val="24"/>
        </w:rPr>
      </w:pPr>
      <w:r w:rsidRPr="00492F7A">
        <w:rPr>
          <w:rFonts w:cstheme="minorHAnsi"/>
          <w:b/>
          <w:sz w:val="24"/>
          <w:szCs w:val="24"/>
        </w:rPr>
        <w:t>P</w:t>
      </w:r>
      <w:r w:rsidR="00702334" w:rsidRPr="00492F7A">
        <w:rPr>
          <w:rFonts w:cstheme="minorHAnsi"/>
          <w:b/>
          <w:sz w:val="24"/>
          <w:szCs w:val="24"/>
        </w:rPr>
        <w:t xml:space="preserve">rzyjęcie podejścia zakładającego </w:t>
      </w:r>
      <w:r w:rsidRPr="00492F7A">
        <w:rPr>
          <w:rFonts w:cstheme="minorHAnsi"/>
          <w:b/>
          <w:sz w:val="24"/>
          <w:szCs w:val="24"/>
        </w:rPr>
        <w:t>nakierowanie działań w ramach</w:t>
      </w:r>
      <w:r w:rsidR="00702334" w:rsidRPr="00492F7A">
        <w:rPr>
          <w:rFonts w:cstheme="minorHAnsi"/>
          <w:b/>
          <w:sz w:val="24"/>
          <w:szCs w:val="24"/>
        </w:rPr>
        <w:t xml:space="preserve"> długof</w:t>
      </w:r>
      <w:r w:rsidRPr="00492F7A">
        <w:rPr>
          <w:rFonts w:cstheme="minorHAnsi"/>
          <w:b/>
          <w:sz w:val="24"/>
          <w:szCs w:val="24"/>
        </w:rPr>
        <w:t>alowych strategicznych programów</w:t>
      </w:r>
      <w:r w:rsidR="00702334" w:rsidRPr="00492F7A">
        <w:rPr>
          <w:rFonts w:cstheme="minorHAnsi"/>
          <w:b/>
          <w:sz w:val="24"/>
          <w:szCs w:val="24"/>
        </w:rPr>
        <w:t xml:space="preserve"> ogólnopolskich finansowanych ze źródeł publicznych przede wszystkim czynników warunkujących zdrowie (determinant), a nie samych problemów zdrowotnych</w:t>
      </w:r>
      <w:r w:rsidR="00E116D6">
        <w:rPr>
          <w:rFonts w:cstheme="minorHAnsi"/>
          <w:sz w:val="24"/>
          <w:szCs w:val="24"/>
        </w:rPr>
        <w:t>.</w:t>
      </w:r>
      <w:r w:rsidRPr="00492F7A">
        <w:rPr>
          <w:rFonts w:cstheme="minorHAnsi"/>
          <w:sz w:val="24"/>
          <w:szCs w:val="24"/>
        </w:rPr>
        <w:t xml:space="preserve">  </w:t>
      </w:r>
    </w:p>
    <w:p w14:paraId="4B39A6A7" w14:textId="4F88B5A6" w:rsidR="006647A0" w:rsidRPr="008B6C95" w:rsidRDefault="006647A0" w:rsidP="008B6C95">
      <w:pPr>
        <w:pStyle w:val="Akapitzlist"/>
        <w:numPr>
          <w:ilvl w:val="1"/>
          <w:numId w:val="40"/>
        </w:numPr>
        <w:spacing w:after="0"/>
        <w:jc w:val="both"/>
        <w:rPr>
          <w:rFonts w:cstheme="minorHAnsi"/>
          <w:sz w:val="24"/>
          <w:szCs w:val="24"/>
        </w:rPr>
      </w:pPr>
      <w:r w:rsidRPr="00E116D6">
        <w:rPr>
          <w:rFonts w:cstheme="minorHAnsi"/>
          <w:b/>
          <w:sz w:val="24"/>
          <w:szCs w:val="24"/>
        </w:rPr>
        <w:t>Z</w:t>
      </w:r>
      <w:r w:rsidR="00702334" w:rsidRPr="00E116D6">
        <w:rPr>
          <w:rFonts w:cstheme="minorHAnsi"/>
          <w:b/>
          <w:sz w:val="24"/>
          <w:szCs w:val="24"/>
        </w:rPr>
        <w:t>naczące poszerzenie profilu działania Państwowej Inspekcji Sanitarnej</w:t>
      </w:r>
      <w:r w:rsidR="00E116D6" w:rsidRPr="00E116D6">
        <w:rPr>
          <w:rFonts w:cstheme="minorHAnsi"/>
          <w:b/>
          <w:sz w:val="24"/>
          <w:szCs w:val="24"/>
        </w:rPr>
        <w:t xml:space="preserve"> o </w:t>
      </w:r>
      <w:r w:rsidR="00E116D6">
        <w:rPr>
          <w:rFonts w:cstheme="minorHAnsi"/>
          <w:sz w:val="24"/>
          <w:szCs w:val="24"/>
        </w:rPr>
        <w:t xml:space="preserve">zadania z zakresu </w:t>
      </w:r>
      <w:r w:rsidR="00702334" w:rsidRPr="00E116D6">
        <w:rPr>
          <w:rFonts w:cstheme="minorHAnsi"/>
          <w:sz w:val="24"/>
          <w:szCs w:val="24"/>
        </w:rPr>
        <w:t xml:space="preserve"> przeciwdziałanie chorobom cywilizacyjnym</w:t>
      </w:r>
      <w:r w:rsidR="008B6C95">
        <w:rPr>
          <w:rFonts w:cstheme="minorHAnsi"/>
          <w:sz w:val="24"/>
          <w:szCs w:val="24"/>
        </w:rPr>
        <w:t xml:space="preserve"> poprzez utworzenie </w:t>
      </w:r>
      <w:r w:rsidR="005C3E50">
        <w:rPr>
          <w:rFonts w:cstheme="minorHAnsi"/>
          <w:sz w:val="24"/>
          <w:szCs w:val="24"/>
        </w:rPr>
        <w:t xml:space="preserve"> w powiatowych </w:t>
      </w:r>
      <w:r w:rsidR="005C3E50" w:rsidRPr="00492F7A">
        <w:rPr>
          <w:rFonts w:cstheme="minorHAnsi"/>
          <w:sz w:val="24"/>
          <w:szCs w:val="24"/>
        </w:rPr>
        <w:t xml:space="preserve">stacjach sanitarno-epidemiologicznych </w:t>
      </w:r>
      <w:r w:rsidR="008B6C95">
        <w:rPr>
          <w:rFonts w:cstheme="minorHAnsi"/>
          <w:sz w:val="24"/>
          <w:szCs w:val="24"/>
        </w:rPr>
        <w:t>zespołów</w:t>
      </w:r>
      <w:r w:rsidR="00702334" w:rsidRPr="008B6C95">
        <w:rPr>
          <w:rFonts w:cstheme="minorHAnsi"/>
          <w:sz w:val="24"/>
          <w:szCs w:val="24"/>
        </w:rPr>
        <w:t xml:space="preserve"> ds. wsparcia i koordynacji działań prozdrowotnych JST i współpracy z zespołam</w:t>
      </w:r>
      <w:r w:rsidR="008B6C95">
        <w:rPr>
          <w:rFonts w:cstheme="minorHAnsi"/>
          <w:sz w:val="24"/>
          <w:szCs w:val="24"/>
        </w:rPr>
        <w:t xml:space="preserve">i podstawowej opieki zdrowotnej oraz  zapewnienie </w:t>
      </w:r>
      <w:r w:rsidR="00702334" w:rsidRPr="008B6C95">
        <w:rPr>
          <w:rFonts w:cstheme="minorHAnsi"/>
          <w:sz w:val="24"/>
          <w:szCs w:val="24"/>
        </w:rPr>
        <w:t>stałe</w:t>
      </w:r>
      <w:r w:rsidR="008B6C95">
        <w:rPr>
          <w:rFonts w:cstheme="minorHAnsi"/>
          <w:sz w:val="24"/>
          <w:szCs w:val="24"/>
        </w:rPr>
        <w:t>go</w:t>
      </w:r>
      <w:r w:rsidR="00702334" w:rsidRPr="008B6C95">
        <w:rPr>
          <w:rFonts w:cstheme="minorHAnsi"/>
          <w:sz w:val="24"/>
          <w:szCs w:val="24"/>
        </w:rPr>
        <w:t xml:space="preserve"> finansowani</w:t>
      </w:r>
      <w:r w:rsidR="008B6C95">
        <w:rPr>
          <w:rFonts w:cstheme="minorHAnsi"/>
          <w:sz w:val="24"/>
          <w:szCs w:val="24"/>
        </w:rPr>
        <w:t>a na realizację ww.</w:t>
      </w:r>
      <w:r w:rsidR="00702334" w:rsidRPr="008B6C95">
        <w:rPr>
          <w:rFonts w:cstheme="minorHAnsi"/>
          <w:sz w:val="24"/>
          <w:szCs w:val="24"/>
        </w:rPr>
        <w:t xml:space="preserve"> zadań</w:t>
      </w:r>
      <w:r w:rsidRPr="008B6C95">
        <w:rPr>
          <w:rFonts w:cstheme="minorHAnsi"/>
          <w:sz w:val="24"/>
          <w:szCs w:val="24"/>
        </w:rPr>
        <w:t>.</w:t>
      </w:r>
    </w:p>
    <w:p w14:paraId="7E04E91A" w14:textId="5462A9C5" w:rsidR="009055F2" w:rsidRPr="00921A4C" w:rsidRDefault="006647A0" w:rsidP="00921A4C">
      <w:pPr>
        <w:pStyle w:val="Akapitzlist"/>
        <w:numPr>
          <w:ilvl w:val="0"/>
          <w:numId w:val="40"/>
        </w:numPr>
        <w:spacing w:after="0"/>
        <w:jc w:val="both"/>
        <w:rPr>
          <w:rFonts w:cstheme="minorHAnsi"/>
          <w:sz w:val="24"/>
          <w:szCs w:val="24"/>
        </w:rPr>
      </w:pPr>
      <w:r w:rsidRPr="00921A4C">
        <w:rPr>
          <w:rFonts w:cstheme="minorHAnsi"/>
          <w:b/>
          <w:sz w:val="24"/>
          <w:szCs w:val="24"/>
        </w:rPr>
        <w:t>Z</w:t>
      </w:r>
      <w:r w:rsidR="00702334" w:rsidRPr="00921A4C">
        <w:rPr>
          <w:rFonts w:cstheme="minorHAnsi"/>
          <w:b/>
          <w:sz w:val="24"/>
          <w:szCs w:val="24"/>
        </w:rPr>
        <w:t>większenie roli systemowej Narodowego Instytutu Zdrowia Publicznego – Państwowego Zakładu Higieny (NIZP-PZH)</w:t>
      </w:r>
      <w:r w:rsidR="00702334" w:rsidRPr="00921A4C">
        <w:rPr>
          <w:rFonts w:cstheme="minorHAnsi"/>
          <w:sz w:val="24"/>
          <w:szCs w:val="24"/>
        </w:rPr>
        <w:t xml:space="preserve"> poprzez zapewnienie stabilnego finansowania zadań zleconych przez administrację rządową (w szczególności </w:t>
      </w:r>
      <w:r w:rsidR="00921A4C" w:rsidRPr="00921A4C">
        <w:rPr>
          <w:rFonts w:cstheme="minorHAnsi"/>
          <w:sz w:val="24"/>
          <w:szCs w:val="24"/>
        </w:rPr>
        <w:t>po</w:t>
      </w:r>
      <w:r w:rsidR="009055F2" w:rsidRPr="00921A4C">
        <w:rPr>
          <w:rFonts w:cstheme="minorHAnsi"/>
          <w:sz w:val="24"/>
          <w:szCs w:val="24"/>
        </w:rPr>
        <w:t xml:space="preserve">przez </w:t>
      </w:r>
      <w:r w:rsidR="00702334" w:rsidRPr="00921A4C">
        <w:rPr>
          <w:rFonts w:cstheme="minorHAnsi"/>
          <w:sz w:val="24"/>
          <w:szCs w:val="24"/>
        </w:rPr>
        <w:t xml:space="preserve">Ministra Zdrowia oraz </w:t>
      </w:r>
      <w:r w:rsidR="009055F2" w:rsidRPr="00921A4C">
        <w:rPr>
          <w:rFonts w:cstheme="minorHAnsi"/>
          <w:sz w:val="24"/>
          <w:szCs w:val="24"/>
        </w:rPr>
        <w:t xml:space="preserve">przez </w:t>
      </w:r>
      <w:r w:rsidR="00702334" w:rsidRPr="00921A4C">
        <w:rPr>
          <w:rFonts w:cstheme="minorHAnsi"/>
          <w:sz w:val="24"/>
          <w:szCs w:val="24"/>
        </w:rPr>
        <w:t>Głównego Inspektora Sanitarnego)</w:t>
      </w:r>
      <w:r w:rsidR="00921A4C" w:rsidRPr="00921A4C">
        <w:rPr>
          <w:rFonts w:cstheme="minorHAnsi"/>
          <w:sz w:val="24"/>
          <w:szCs w:val="24"/>
        </w:rPr>
        <w:t xml:space="preserve">, w tym szczególnie </w:t>
      </w:r>
      <w:r w:rsidR="00702334" w:rsidRPr="00921A4C">
        <w:rPr>
          <w:rFonts w:cstheme="minorHAnsi"/>
          <w:sz w:val="24"/>
          <w:szCs w:val="24"/>
        </w:rPr>
        <w:t xml:space="preserve">monitorowanie sytuacji zdrowotnej </w:t>
      </w:r>
      <w:r w:rsidR="00921A4C" w:rsidRPr="00921A4C">
        <w:rPr>
          <w:rFonts w:cstheme="minorHAnsi"/>
          <w:sz w:val="24"/>
          <w:szCs w:val="24"/>
        </w:rPr>
        <w:t xml:space="preserve">oraz </w:t>
      </w:r>
      <w:r w:rsidR="00702334" w:rsidRPr="00921A4C">
        <w:rPr>
          <w:rFonts w:cstheme="minorHAnsi"/>
          <w:sz w:val="24"/>
          <w:szCs w:val="24"/>
        </w:rPr>
        <w:t>opracowywanie</w:t>
      </w:r>
      <w:r w:rsidR="009055F2" w:rsidRPr="00921A4C">
        <w:rPr>
          <w:rFonts w:cstheme="minorHAnsi"/>
          <w:sz w:val="24"/>
          <w:szCs w:val="24"/>
        </w:rPr>
        <w:t>,</w:t>
      </w:r>
      <w:r w:rsidR="00702334" w:rsidRPr="00921A4C">
        <w:rPr>
          <w:rFonts w:cstheme="minorHAnsi"/>
          <w:sz w:val="24"/>
          <w:szCs w:val="24"/>
        </w:rPr>
        <w:t xml:space="preserve"> opartych na dowodach naukowych</w:t>
      </w:r>
      <w:r w:rsidR="009055F2" w:rsidRPr="00921A4C">
        <w:rPr>
          <w:rFonts w:cstheme="minorHAnsi"/>
          <w:sz w:val="24"/>
          <w:szCs w:val="24"/>
        </w:rPr>
        <w:t>,</w:t>
      </w:r>
      <w:r w:rsidR="00702334" w:rsidRPr="00921A4C">
        <w:rPr>
          <w:rFonts w:cstheme="minorHAnsi"/>
          <w:sz w:val="24"/>
          <w:szCs w:val="24"/>
        </w:rPr>
        <w:t xml:space="preserve"> rekomendacji w z</w:t>
      </w:r>
      <w:r w:rsidR="00921A4C">
        <w:rPr>
          <w:rFonts w:cstheme="minorHAnsi"/>
          <w:sz w:val="24"/>
          <w:szCs w:val="24"/>
        </w:rPr>
        <w:t>akresie interwencji systemowych</w:t>
      </w:r>
      <w:r w:rsidR="00702334" w:rsidRPr="00921A4C">
        <w:rPr>
          <w:rFonts w:cstheme="minorHAnsi"/>
          <w:sz w:val="24"/>
          <w:szCs w:val="24"/>
        </w:rPr>
        <w:t xml:space="preserve">. </w:t>
      </w:r>
    </w:p>
    <w:p w14:paraId="22B56AE8" w14:textId="77777777" w:rsidR="00AE0D80" w:rsidRPr="00AE0D80" w:rsidRDefault="009055F2" w:rsidP="00492F7A">
      <w:pPr>
        <w:pStyle w:val="Akapitzlist"/>
        <w:numPr>
          <w:ilvl w:val="0"/>
          <w:numId w:val="40"/>
        </w:numPr>
        <w:spacing w:after="0"/>
        <w:jc w:val="both"/>
        <w:rPr>
          <w:rFonts w:cstheme="minorHAnsi"/>
          <w:sz w:val="24"/>
          <w:szCs w:val="24"/>
        </w:rPr>
      </w:pPr>
      <w:r w:rsidRPr="00492F7A">
        <w:rPr>
          <w:rFonts w:cstheme="minorHAnsi"/>
          <w:b/>
          <w:sz w:val="24"/>
          <w:szCs w:val="24"/>
        </w:rPr>
        <w:t>U</w:t>
      </w:r>
      <w:r w:rsidR="00702334" w:rsidRPr="00492F7A">
        <w:rPr>
          <w:rFonts w:cstheme="minorHAnsi"/>
          <w:b/>
          <w:sz w:val="24"/>
          <w:szCs w:val="24"/>
        </w:rPr>
        <w:t>stalenie minimalnego zakresu odpowiedzialności jednostek samorządu terytorialnego (JST), szczególnie powiatów,  za działania z obszaru zdrowia publicznego oraz wsparcie merytoryczne w realizacji samorządowych programów prozdrowotnych</w:t>
      </w:r>
      <w:r w:rsidR="00AE0D80">
        <w:rPr>
          <w:rFonts w:cstheme="minorHAnsi"/>
          <w:b/>
          <w:sz w:val="24"/>
          <w:szCs w:val="24"/>
        </w:rPr>
        <w:t>:</w:t>
      </w:r>
    </w:p>
    <w:p w14:paraId="7976C1EE" w14:textId="5AAF137E" w:rsidR="00AE0D80" w:rsidRDefault="00AE0D80" w:rsidP="00AE0D80">
      <w:pPr>
        <w:pStyle w:val="Akapitzlist"/>
        <w:numPr>
          <w:ilvl w:val="1"/>
          <w:numId w:val="40"/>
        </w:numPr>
        <w:spacing w:after="0"/>
        <w:jc w:val="both"/>
        <w:rPr>
          <w:rFonts w:cstheme="minorHAnsi"/>
          <w:sz w:val="24"/>
          <w:szCs w:val="24"/>
        </w:rPr>
      </w:pPr>
      <w:r>
        <w:rPr>
          <w:rFonts w:cstheme="minorHAnsi"/>
          <w:sz w:val="24"/>
          <w:szCs w:val="24"/>
        </w:rPr>
        <w:t>p</w:t>
      </w:r>
      <w:r w:rsidR="00702334" w:rsidRPr="00492F7A">
        <w:rPr>
          <w:rFonts w:cstheme="minorHAnsi"/>
          <w:sz w:val="24"/>
          <w:szCs w:val="24"/>
        </w:rPr>
        <w:t xml:space="preserve">odejmowanie działań prozdrowotnych w obszarach innych niż kontrola chorób układu sercowo-naczyniowego, nowotworów oraz </w:t>
      </w:r>
      <w:r w:rsidR="00921A4C">
        <w:rPr>
          <w:rFonts w:cstheme="minorHAnsi"/>
          <w:sz w:val="24"/>
          <w:szCs w:val="24"/>
        </w:rPr>
        <w:t>chorób mózgu</w:t>
      </w:r>
      <w:r w:rsidR="00702334" w:rsidRPr="00492F7A">
        <w:rPr>
          <w:rFonts w:cstheme="minorHAnsi"/>
          <w:sz w:val="24"/>
          <w:szCs w:val="24"/>
        </w:rPr>
        <w:t xml:space="preserve"> powinno być możliwe po zabezpieczeniu podstawowego dostępu do promocji zdrowia i profilaktyki w danej JST w </w:t>
      </w:r>
      <w:r>
        <w:rPr>
          <w:rFonts w:cstheme="minorHAnsi"/>
          <w:sz w:val="24"/>
          <w:szCs w:val="24"/>
        </w:rPr>
        <w:t>trzech obszarach priorytetowych,</w:t>
      </w:r>
      <w:r w:rsidR="00702334" w:rsidRPr="00492F7A">
        <w:rPr>
          <w:rFonts w:cstheme="minorHAnsi"/>
          <w:sz w:val="24"/>
          <w:szCs w:val="24"/>
        </w:rPr>
        <w:t xml:space="preserve"> </w:t>
      </w:r>
    </w:p>
    <w:p w14:paraId="26964BC9" w14:textId="5B42BC66" w:rsidR="00AE0D80" w:rsidRDefault="00702334" w:rsidP="00AE0D80">
      <w:pPr>
        <w:pStyle w:val="Akapitzlist"/>
        <w:numPr>
          <w:ilvl w:val="1"/>
          <w:numId w:val="40"/>
        </w:numPr>
        <w:spacing w:after="0"/>
        <w:jc w:val="both"/>
        <w:rPr>
          <w:rFonts w:cstheme="minorHAnsi"/>
          <w:sz w:val="24"/>
          <w:szCs w:val="24"/>
        </w:rPr>
      </w:pPr>
      <w:r w:rsidRPr="00492F7A">
        <w:rPr>
          <w:rFonts w:cstheme="minorHAnsi"/>
          <w:sz w:val="24"/>
          <w:szCs w:val="24"/>
        </w:rPr>
        <w:t xml:space="preserve">konieczne jest </w:t>
      </w:r>
      <w:r w:rsidRPr="00492F7A">
        <w:rPr>
          <w:rFonts w:cstheme="minorHAnsi"/>
          <w:b/>
          <w:sz w:val="24"/>
          <w:szCs w:val="24"/>
        </w:rPr>
        <w:t>dostarczenie JST gotowych do wdrożenia programów</w:t>
      </w:r>
      <w:r w:rsidRPr="00492F7A">
        <w:rPr>
          <w:rFonts w:cstheme="minorHAnsi"/>
          <w:sz w:val="24"/>
          <w:szCs w:val="24"/>
        </w:rPr>
        <w:t xml:space="preserve"> opartych o podstawy naukowe i przynoszących pozytywne wyniki ewaluacji w oparciu o pilotaże – to zadanie powinno zostać zrealizowane przez </w:t>
      </w:r>
      <w:proofErr w:type="spellStart"/>
      <w:r w:rsidR="00AE0D80">
        <w:rPr>
          <w:rFonts w:cstheme="minorHAnsi"/>
          <w:sz w:val="24"/>
          <w:szCs w:val="24"/>
        </w:rPr>
        <w:t>AOTMiT</w:t>
      </w:r>
      <w:proofErr w:type="spellEnd"/>
      <w:r w:rsidR="00AE0D80">
        <w:rPr>
          <w:rFonts w:cstheme="minorHAnsi"/>
          <w:sz w:val="24"/>
          <w:szCs w:val="24"/>
        </w:rPr>
        <w:t xml:space="preserve"> we współpracy z NIZP-PZH,</w:t>
      </w:r>
      <w:r w:rsidRPr="00492F7A">
        <w:rPr>
          <w:rFonts w:cstheme="minorHAnsi"/>
          <w:sz w:val="24"/>
          <w:szCs w:val="24"/>
        </w:rPr>
        <w:t xml:space="preserve"> </w:t>
      </w:r>
    </w:p>
    <w:p w14:paraId="235ECDFC" w14:textId="08D2E94A" w:rsidR="009055F2" w:rsidRPr="009A3DB0" w:rsidRDefault="00AE0D80" w:rsidP="009A3DB0">
      <w:pPr>
        <w:pStyle w:val="Akapitzlist"/>
        <w:numPr>
          <w:ilvl w:val="1"/>
          <w:numId w:val="40"/>
        </w:numPr>
        <w:spacing w:after="0"/>
        <w:jc w:val="both"/>
        <w:rPr>
          <w:rFonts w:cstheme="minorHAnsi"/>
          <w:sz w:val="24"/>
          <w:szCs w:val="24"/>
        </w:rPr>
      </w:pPr>
      <w:r>
        <w:rPr>
          <w:rFonts w:cstheme="minorHAnsi"/>
          <w:sz w:val="24"/>
          <w:szCs w:val="24"/>
        </w:rPr>
        <w:t>w</w:t>
      </w:r>
      <w:r w:rsidR="00702334" w:rsidRPr="00492F7A">
        <w:rPr>
          <w:rFonts w:cstheme="minorHAnsi"/>
          <w:sz w:val="24"/>
          <w:szCs w:val="24"/>
        </w:rPr>
        <w:t xml:space="preserve"> celu ułatwienia wdrażania programów w JST powinny powstać zachęty do zawierania porozumień międzygminnych i </w:t>
      </w:r>
      <w:proofErr w:type="spellStart"/>
      <w:r w:rsidR="00702334" w:rsidRPr="00492F7A">
        <w:rPr>
          <w:rFonts w:cstheme="minorHAnsi"/>
          <w:sz w:val="24"/>
          <w:szCs w:val="24"/>
        </w:rPr>
        <w:t>międzypowiatowych</w:t>
      </w:r>
      <w:proofErr w:type="spellEnd"/>
      <w:r w:rsidR="009A3DB0">
        <w:rPr>
          <w:rFonts w:cstheme="minorHAnsi"/>
          <w:sz w:val="24"/>
          <w:szCs w:val="24"/>
        </w:rPr>
        <w:t xml:space="preserve">, </w:t>
      </w:r>
      <w:r w:rsidR="00702334" w:rsidRPr="009A3DB0">
        <w:rPr>
          <w:rFonts w:cstheme="minorHAnsi"/>
          <w:sz w:val="24"/>
          <w:szCs w:val="24"/>
        </w:rPr>
        <w:t>szczególnie uzasadnione w przypadku małych JST, dla których ten proces może być zbyt dużym obciążeniem przy braku kadr wykształconych w zakresie realizacji zadań zdrowia publicznego</w:t>
      </w:r>
      <w:r w:rsidR="009055F2" w:rsidRPr="009A3DB0">
        <w:rPr>
          <w:rFonts w:cstheme="minorHAnsi"/>
          <w:sz w:val="24"/>
          <w:szCs w:val="24"/>
        </w:rPr>
        <w:t>.</w:t>
      </w:r>
    </w:p>
    <w:p w14:paraId="2D759CB0" w14:textId="77777777" w:rsidR="009A3DB0" w:rsidRPr="009A3DB0" w:rsidRDefault="009055F2" w:rsidP="009A3DB0">
      <w:pPr>
        <w:pStyle w:val="Akapitzlist"/>
        <w:numPr>
          <w:ilvl w:val="0"/>
          <w:numId w:val="40"/>
        </w:numPr>
        <w:spacing w:after="0"/>
        <w:jc w:val="both"/>
        <w:rPr>
          <w:rFonts w:cstheme="minorHAnsi"/>
          <w:sz w:val="24"/>
          <w:szCs w:val="24"/>
        </w:rPr>
      </w:pPr>
      <w:r w:rsidRPr="00492F7A">
        <w:rPr>
          <w:rFonts w:cstheme="minorHAnsi"/>
          <w:b/>
          <w:sz w:val="24"/>
          <w:szCs w:val="24"/>
        </w:rPr>
        <w:t>W</w:t>
      </w:r>
      <w:r w:rsidR="00702334" w:rsidRPr="00492F7A">
        <w:rPr>
          <w:rFonts w:cstheme="minorHAnsi"/>
          <w:b/>
          <w:sz w:val="24"/>
          <w:szCs w:val="24"/>
        </w:rPr>
        <w:t>prowadzenie maksymalnej przejrzystości i dostępności informacji o sytuacji zdrowotnej w JST i jej uwarunkowaniach (w tym społecznych i ekonomicznych) oraz o podejmowanych działaniach prozdrowotnych i ich rezultatach</w:t>
      </w:r>
      <w:r w:rsidR="009A3DB0">
        <w:rPr>
          <w:rFonts w:cstheme="minorHAnsi"/>
          <w:b/>
          <w:sz w:val="24"/>
          <w:szCs w:val="24"/>
        </w:rPr>
        <w:t>.</w:t>
      </w:r>
    </w:p>
    <w:p w14:paraId="17EFD342" w14:textId="36265D5A" w:rsidR="009055F2" w:rsidRPr="009A3DB0" w:rsidRDefault="009055F2" w:rsidP="009A3DB0">
      <w:pPr>
        <w:pStyle w:val="Akapitzlist"/>
        <w:numPr>
          <w:ilvl w:val="0"/>
          <w:numId w:val="40"/>
        </w:numPr>
        <w:spacing w:after="0"/>
        <w:jc w:val="both"/>
        <w:rPr>
          <w:rFonts w:cstheme="minorHAnsi"/>
          <w:sz w:val="24"/>
          <w:szCs w:val="24"/>
        </w:rPr>
      </w:pPr>
      <w:r w:rsidRPr="009A3DB0">
        <w:rPr>
          <w:rFonts w:cstheme="minorHAnsi"/>
          <w:b/>
          <w:sz w:val="24"/>
          <w:szCs w:val="24"/>
        </w:rPr>
        <w:t>W</w:t>
      </w:r>
      <w:r w:rsidR="00702334" w:rsidRPr="009A3DB0">
        <w:rPr>
          <w:rFonts w:cstheme="minorHAnsi"/>
          <w:b/>
          <w:sz w:val="24"/>
          <w:szCs w:val="24"/>
        </w:rPr>
        <w:t>yodrębnienie środków na badania stanu zdrowia społeczeństwa, w szczególności niezbędne jest rozpoczęcie cyklicznego badania na reprezentatywnej grupie pozwalającej oceniać trendy epidemiologiczne</w:t>
      </w:r>
      <w:r w:rsidR="00EC1FAC" w:rsidRPr="009A3DB0">
        <w:rPr>
          <w:rFonts w:cstheme="minorHAnsi"/>
          <w:sz w:val="24"/>
          <w:szCs w:val="24"/>
        </w:rPr>
        <w:t>.</w:t>
      </w:r>
      <w:r w:rsidR="00702334" w:rsidRPr="009A3DB0">
        <w:rPr>
          <w:rFonts w:cstheme="minorHAnsi"/>
          <w:sz w:val="24"/>
          <w:szCs w:val="24"/>
        </w:rPr>
        <w:t xml:space="preserve"> </w:t>
      </w:r>
    </w:p>
    <w:p w14:paraId="5DF8E7F6" w14:textId="4C028BCC" w:rsidR="00EC1FAC" w:rsidRDefault="009055F2" w:rsidP="00492F7A">
      <w:pPr>
        <w:pStyle w:val="Akapitzlist"/>
        <w:numPr>
          <w:ilvl w:val="0"/>
          <w:numId w:val="40"/>
        </w:numPr>
        <w:spacing w:after="0"/>
        <w:jc w:val="both"/>
        <w:rPr>
          <w:rFonts w:cstheme="minorHAnsi"/>
          <w:sz w:val="24"/>
          <w:szCs w:val="24"/>
        </w:rPr>
      </w:pPr>
      <w:r w:rsidRPr="00492F7A">
        <w:rPr>
          <w:rFonts w:cstheme="minorHAnsi"/>
          <w:b/>
          <w:sz w:val="24"/>
          <w:szCs w:val="24"/>
        </w:rPr>
        <w:t>U</w:t>
      </w:r>
      <w:r w:rsidR="00702334" w:rsidRPr="00492F7A">
        <w:rPr>
          <w:rFonts w:cstheme="minorHAnsi"/>
          <w:b/>
          <w:sz w:val="24"/>
          <w:szCs w:val="24"/>
        </w:rPr>
        <w:t>kierunkowanie działań służby medycyny pracy na poprawę stanu zdrowia pracowników w szerszym wymiarze</w:t>
      </w:r>
      <w:r w:rsidR="00702334" w:rsidRPr="00492F7A">
        <w:rPr>
          <w:rFonts w:cstheme="minorHAnsi"/>
          <w:sz w:val="24"/>
          <w:szCs w:val="24"/>
        </w:rPr>
        <w:t xml:space="preserve">, zgodnie z rekomendacjami Instytutu Medycyny Pracy, w szczególności wczesnego wykrywania chorób przewlekłych jak cukrzyca, nadciśnienie tętnicze czy zaburzenia gospodarki lipidowej. </w:t>
      </w:r>
    </w:p>
    <w:p w14:paraId="4D6591B7" w14:textId="69866AB9" w:rsidR="00EA416E" w:rsidRPr="00492F7A" w:rsidRDefault="00EC1FAC" w:rsidP="00492F7A">
      <w:pPr>
        <w:pStyle w:val="Akapitzlist"/>
        <w:numPr>
          <w:ilvl w:val="0"/>
          <w:numId w:val="40"/>
        </w:numPr>
        <w:spacing w:after="0"/>
        <w:jc w:val="both"/>
        <w:rPr>
          <w:rFonts w:cstheme="minorHAnsi"/>
          <w:sz w:val="24"/>
          <w:szCs w:val="24"/>
        </w:rPr>
      </w:pPr>
      <w:r>
        <w:rPr>
          <w:rFonts w:cstheme="minorHAnsi"/>
          <w:sz w:val="24"/>
          <w:szCs w:val="24"/>
        </w:rPr>
        <w:t xml:space="preserve"> O</w:t>
      </w:r>
      <w:r w:rsidR="00702334" w:rsidRPr="00492F7A">
        <w:rPr>
          <w:rFonts w:cstheme="minorHAnsi"/>
          <w:sz w:val="24"/>
          <w:szCs w:val="24"/>
        </w:rPr>
        <w:t>kre</w:t>
      </w:r>
      <w:r>
        <w:rPr>
          <w:rFonts w:cstheme="minorHAnsi"/>
          <w:sz w:val="24"/>
          <w:szCs w:val="24"/>
        </w:rPr>
        <w:t>ślenie</w:t>
      </w:r>
      <w:r w:rsidR="00702334" w:rsidRPr="00492F7A">
        <w:rPr>
          <w:rFonts w:cstheme="minorHAnsi"/>
          <w:sz w:val="24"/>
          <w:szCs w:val="24"/>
        </w:rPr>
        <w:t xml:space="preserve"> </w:t>
      </w:r>
      <w:r>
        <w:rPr>
          <w:rFonts w:cstheme="minorHAnsi"/>
          <w:b/>
          <w:sz w:val="24"/>
          <w:szCs w:val="24"/>
        </w:rPr>
        <w:t>kompetencji</w:t>
      </w:r>
      <w:r w:rsidR="00702334" w:rsidRPr="00492F7A">
        <w:rPr>
          <w:rFonts w:cstheme="minorHAnsi"/>
          <w:b/>
          <w:sz w:val="24"/>
          <w:szCs w:val="24"/>
        </w:rPr>
        <w:t xml:space="preserve"> zespołu POZ</w:t>
      </w:r>
      <w:r w:rsidR="00702334" w:rsidRPr="00492F7A">
        <w:rPr>
          <w:rFonts w:cstheme="minorHAnsi"/>
          <w:sz w:val="24"/>
          <w:szCs w:val="24"/>
        </w:rPr>
        <w:t xml:space="preserve"> jako lidera w promocji zdrowia i profilaktyce osób objętych opieką, we współpracy z ekspertami z zakresu zdrowia publicznego (w tym szczególnie Inspekcji Sanitarnej)</w:t>
      </w:r>
      <w:r>
        <w:rPr>
          <w:rFonts w:cstheme="minorHAnsi"/>
          <w:sz w:val="24"/>
          <w:szCs w:val="24"/>
        </w:rPr>
        <w:t xml:space="preserve"> oraz zapewnienie</w:t>
      </w:r>
      <w:r w:rsidR="006A41BD" w:rsidRPr="00492F7A">
        <w:rPr>
          <w:rFonts w:cstheme="minorHAnsi"/>
          <w:sz w:val="24"/>
          <w:szCs w:val="24"/>
        </w:rPr>
        <w:t xml:space="preserve"> finansowanie tego typu działań w POZ.</w:t>
      </w:r>
    </w:p>
    <w:p w14:paraId="57A7632A" w14:textId="1D8F3D37" w:rsidR="00702334" w:rsidRPr="008B4A33" w:rsidRDefault="00EA416E" w:rsidP="008B4A33">
      <w:pPr>
        <w:pStyle w:val="Akapitzlist"/>
        <w:numPr>
          <w:ilvl w:val="0"/>
          <w:numId w:val="40"/>
        </w:numPr>
        <w:spacing w:after="0"/>
        <w:jc w:val="both"/>
        <w:rPr>
          <w:rFonts w:cstheme="minorHAnsi"/>
          <w:sz w:val="24"/>
          <w:szCs w:val="24"/>
        </w:rPr>
      </w:pPr>
      <w:r w:rsidRPr="00492F7A">
        <w:rPr>
          <w:rFonts w:cstheme="minorHAnsi"/>
          <w:b/>
          <w:sz w:val="24"/>
          <w:szCs w:val="24"/>
        </w:rPr>
        <w:t>D</w:t>
      </w:r>
      <w:r w:rsidR="00702334" w:rsidRPr="00492F7A">
        <w:rPr>
          <w:rFonts w:cstheme="minorHAnsi"/>
          <w:b/>
          <w:sz w:val="24"/>
          <w:szCs w:val="24"/>
        </w:rPr>
        <w:t>okonanie zmian w kształceniu na kierunku zdrowie publiczne</w:t>
      </w:r>
      <w:r w:rsidR="008B4A33">
        <w:rPr>
          <w:rFonts w:cstheme="minorHAnsi"/>
          <w:b/>
          <w:sz w:val="24"/>
          <w:szCs w:val="24"/>
        </w:rPr>
        <w:t xml:space="preserve"> </w:t>
      </w:r>
      <w:r w:rsidR="008B4A33" w:rsidRPr="008B4A33">
        <w:rPr>
          <w:rFonts w:cstheme="minorHAnsi"/>
          <w:sz w:val="24"/>
          <w:szCs w:val="24"/>
        </w:rPr>
        <w:t xml:space="preserve">poprzez </w:t>
      </w:r>
      <w:r w:rsidR="008B4A33">
        <w:rPr>
          <w:rFonts w:cstheme="minorHAnsi"/>
          <w:sz w:val="24"/>
          <w:szCs w:val="24"/>
        </w:rPr>
        <w:t>wprowadzenie ścieżek specjalizacyjnych</w:t>
      </w:r>
      <w:r w:rsidR="00702334" w:rsidRPr="008B4A33">
        <w:rPr>
          <w:rFonts w:cstheme="minorHAnsi"/>
          <w:sz w:val="24"/>
          <w:szCs w:val="24"/>
        </w:rPr>
        <w:t xml:space="preserve"> dla studentów w oparciu o określone stanowiska </w:t>
      </w:r>
      <w:r w:rsidR="008B4A33" w:rsidRPr="008B4A33">
        <w:rPr>
          <w:rFonts w:cstheme="minorHAnsi"/>
          <w:sz w:val="24"/>
          <w:szCs w:val="24"/>
        </w:rPr>
        <w:t xml:space="preserve">i miejsca zatrudnienia </w:t>
      </w:r>
      <w:r w:rsidR="00702334" w:rsidRPr="008B4A33">
        <w:rPr>
          <w:rFonts w:cstheme="minorHAnsi"/>
          <w:sz w:val="24"/>
          <w:szCs w:val="24"/>
        </w:rPr>
        <w:t>w systemie ochrony</w:t>
      </w:r>
      <w:r w:rsidR="008B4A33">
        <w:rPr>
          <w:rFonts w:cstheme="minorHAnsi"/>
          <w:sz w:val="24"/>
          <w:szCs w:val="24"/>
        </w:rPr>
        <w:t xml:space="preserve"> zdrowi oraz </w:t>
      </w:r>
      <w:r w:rsidR="006A41BD" w:rsidRPr="008B4A33">
        <w:rPr>
          <w:rFonts w:cstheme="minorHAnsi"/>
          <w:sz w:val="24"/>
          <w:szCs w:val="24"/>
        </w:rPr>
        <w:t xml:space="preserve"> </w:t>
      </w:r>
      <w:r w:rsidR="00EC1FAC" w:rsidRPr="008B4A33">
        <w:rPr>
          <w:rFonts w:cstheme="minorHAnsi"/>
          <w:sz w:val="24"/>
          <w:szCs w:val="24"/>
        </w:rPr>
        <w:t>d</w:t>
      </w:r>
      <w:r w:rsidR="008B4A33">
        <w:rPr>
          <w:rFonts w:cstheme="minorHAnsi"/>
          <w:sz w:val="24"/>
          <w:szCs w:val="24"/>
        </w:rPr>
        <w:t>ocelowe</w:t>
      </w:r>
      <w:r w:rsidR="00702334" w:rsidRPr="008B4A33">
        <w:rPr>
          <w:rFonts w:cstheme="minorHAnsi"/>
          <w:sz w:val="24"/>
          <w:szCs w:val="24"/>
        </w:rPr>
        <w:t xml:space="preserve"> system</w:t>
      </w:r>
      <w:r w:rsidR="008B4A33">
        <w:rPr>
          <w:rFonts w:cstheme="minorHAnsi"/>
          <w:sz w:val="24"/>
          <w:szCs w:val="24"/>
        </w:rPr>
        <w:t>u</w:t>
      </w:r>
      <w:r w:rsidR="00702334" w:rsidRPr="008B4A33">
        <w:rPr>
          <w:rFonts w:cstheme="minorHAnsi"/>
          <w:sz w:val="24"/>
          <w:szCs w:val="24"/>
        </w:rPr>
        <w:t xml:space="preserve"> potwierdzania kom</w:t>
      </w:r>
      <w:r w:rsidR="008B4A33">
        <w:rPr>
          <w:rFonts w:cstheme="minorHAnsi"/>
          <w:sz w:val="24"/>
          <w:szCs w:val="24"/>
        </w:rPr>
        <w:t>petencji w postaci egzaminu i</w:t>
      </w:r>
      <w:r w:rsidR="00702334" w:rsidRPr="008B4A33">
        <w:rPr>
          <w:rFonts w:cstheme="minorHAnsi"/>
          <w:sz w:val="24"/>
          <w:szCs w:val="24"/>
        </w:rPr>
        <w:t xml:space="preserve"> akredytac</w:t>
      </w:r>
      <w:r w:rsidR="008B4A33">
        <w:rPr>
          <w:rFonts w:cstheme="minorHAnsi"/>
          <w:sz w:val="24"/>
          <w:szCs w:val="24"/>
        </w:rPr>
        <w:t>ji krajowej</w:t>
      </w:r>
      <w:r w:rsidR="00702334" w:rsidRPr="008B4A33">
        <w:rPr>
          <w:rFonts w:cstheme="minorHAnsi"/>
          <w:sz w:val="24"/>
          <w:szCs w:val="24"/>
        </w:rPr>
        <w:t xml:space="preserve"> dla uczelni, które chcą kształcić na tym kierunku.</w:t>
      </w:r>
    </w:p>
    <w:p w14:paraId="56C948A0" w14:textId="1B2C38BB" w:rsidR="00D15A38" w:rsidRPr="00D15A38" w:rsidRDefault="00D15A38" w:rsidP="00D15A38">
      <w:pPr>
        <w:spacing w:after="120"/>
        <w:jc w:val="both"/>
        <w:rPr>
          <w:rFonts w:cstheme="minorHAnsi"/>
          <w:sz w:val="24"/>
          <w:szCs w:val="24"/>
        </w:rPr>
      </w:pPr>
      <w:r w:rsidRPr="00D15A38">
        <w:rPr>
          <w:rFonts w:cstheme="minorHAnsi"/>
          <w:sz w:val="24"/>
          <w:szCs w:val="24"/>
        </w:rPr>
        <w:t xml:space="preserve">Pracownicy powiatowych i wojewódzkich stacji powinni pełnić rolę doradców ds. zdrowia dla jednostek samorządu terytorialnego – szczególnie dla małych urzędów gminnych, gdzie nigdy nie uda się zbudować kapitału ludzkiego, który mógłby sprostać oczekiwaniom realizacji polityki prozdrowotnej na szczeblu lokalnym. Należy zadbać, żeby ci doradcy posiadali usystematyzowany zakres wiedzy i adekwatne umiejętności. </w:t>
      </w:r>
    </w:p>
    <w:p w14:paraId="3FC93FBE" w14:textId="3D35F6B7" w:rsidR="00D15A38" w:rsidRDefault="00D15A38" w:rsidP="00D15A38">
      <w:pPr>
        <w:spacing w:after="120"/>
        <w:jc w:val="both"/>
        <w:rPr>
          <w:rFonts w:cstheme="minorHAnsi"/>
          <w:sz w:val="24"/>
          <w:szCs w:val="24"/>
        </w:rPr>
      </w:pPr>
      <w:r w:rsidRPr="00D15A38">
        <w:rPr>
          <w:rFonts w:cstheme="minorHAnsi"/>
          <w:b/>
          <w:sz w:val="24"/>
          <w:szCs w:val="24"/>
        </w:rPr>
        <w:t xml:space="preserve">Powinno zostać zapewnione stałe źródło finansowania dla instytutów eksperckich na badania cykliczne. </w:t>
      </w:r>
      <w:r w:rsidRPr="00D15A38">
        <w:rPr>
          <w:rFonts w:cstheme="minorHAnsi"/>
          <w:sz w:val="24"/>
          <w:szCs w:val="24"/>
        </w:rPr>
        <w:t xml:space="preserve">Należy wprowadzić populacyjne prospektywne badanie </w:t>
      </w:r>
      <w:proofErr w:type="spellStart"/>
      <w:r w:rsidRPr="00D15A38">
        <w:rPr>
          <w:rFonts w:cstheme="minorHAnsi"/>
          <w:sz w:val="24"/>
          <w:szCs w:val="24"/>
        </w:rPr>
        <w:t>kohortowe</w:t>
      </w:r>
      <w:proofErr w:type="spellEnd"/>
      <w:r w:rsidRPr="00D15A38">
        <w:rPr>
          <w:rFonts w:cstheme="minorHAnsi"/>
          <w:sz w:val="24"/>
          <w:szCs w:val="24"/>
        </w:rPr>
        <w:t xml:space="preserve"> </w:t>
      </w:r>
      <w:r w:rsidR="008B4A33">
        <w:rPr>
          <w:rFonts w:cstheme="minorHAnsi"/>
          <w:sz w:val="24"/>
          <w:szCs w:val="24"/>
        </w:rPr>
        <w:t>stanu zdrowia i nawyków żywieniowych społeczeństwa</w:t>
      </w:r>
      <w:r w:rsidRPr="00D15A38">
        <w:rPr>
          <w:rFonts w:cstheme="minorHAnsi"/>
          <w:sz w:val="24"/>
          <w:szCs w:val="24"/>
        </w:rPr>
        <w:t>.</w:t>
      </w:r>
    </w:p>
    <w:p w14:paraId="5192B9CD" w14:textId="77777777" w:rsidR="008B4A33" w:rsidRPr="00D15A38" w:rsidRDefault="008B4A33" w:rsidP="00D15A38">
      <w:pPr>
        <w:spacing w:after="120"/>
        <w:jc w:val="both"/>
        <w:rPr>
          <w:rFonts w:cstheme="minorHAnsi"/>
          <w:sz w:val="24"/>
          <w:szCs w:val="24"/>
        </w:rPr>
      </w:pPr>
    </w:p>
    <w:p w14:paraId="222D81F6" w14:textId="52B3D635" w:rsidR="006647A0" w:rsidRPr="008B4A33" w:rsidRDefault="006647A0" w:rsidP="00EC1FAC">
      <w:pPr>
        <w:pStyle w:val="Akapitzlist"/>
        <w:numPr>
          <w:ilvl w:val="0"/>
          <w:numId w:val="17"/>
        </w:numPr>
        <w:rPr>
          <w:rStyle w:val="fontstyle01"/>
          <w:rFonts w:asciiTheme="minorHAnsi" w:hAnsiTheme="minorHAnsi" w:cstheme="minorHAnsi"/>
          <w:b/>
          <w:color w:val="4F81BD" w:themeColor="accent1"/>
          <w:sz w:val="24"/>
          <w:szCs w:val="24"/>
        </w:rPr>
      </w:pPr>
      <w:r w:rsidRPr="008B4A33">
        <w:rPr>
          <w:rStyle w:val="fontstyle01"/>
          <w:rFonts w:asciiTheme="minorHAnsi" w:hAnsiTheme="minorHAnsi" w:cstheme="minorHAnsi"/>
          <w:b/>
          <w:color w:val="4F81BD" w:themeColor="accent1"/>
          <w:sz w:val="24"/>
          <w:szCs w:val="24"/>
        </w:rPr>
        <w:t>PRAWA I OBOWIĄZKI PACJENTA – NOWE WYTYCZNE I REKOMENDACJE</w:t>
      </w:r>
    </w:p>
    <w:p w14:paraId="4703C2E5" w14:textId="17BD0B78" w:rsidR="00074880" w:rsidRPr="004A1DA6" w:rsidRDefault="0078393C" w:rsidP="0078393C">
      <w:pPr>
        <w:spacing w:after="160"/>
        <w:jc w:val="both"/>
        <w:rPr>
          <w:rStyle w:val="fontstyle01"/>
          <w:rFonts w:asciiTheme="minorHAnsi" w:hAnsiTheme="minorHAnsi" w:cstheme="minorHAnsi"/>
          <w:color w:val="auto"/>
          <w:sz w:val="24"/>
          <w:szCs w:val="24"/>
        </w:rPr>
      </w:pPr>
      <w:r>
        <w:rPr>
          <w:rStyle w:val="fontstyle01"/>
          <w:rFonts w:asciiTheme="minorHAnsi" w:hAnsiTheme="minorHAnsi" w:cstheme="minorHAnsi"/>
          <w:color w:val="auto"/>
          <w:sz w:val="24"/>
          <w:szCs w:val="24"/>
        </w:rPr>
        <w:t xml:space="preserve">Zwrócono </w:t>
      </w:r>
      <w:r w:rsidR="006647A0" w:rsidRPr="0078393C">
        <w:rPr>
          <w:rStyle w:val="fontstyle01"/>
          <w:rFonts w:asciiTheme="minorHAnsi" w:hAnsiTheme="minorHAnsi" w:cstheme="minorHAnsi"/>
          <w:color w:val="auto"/>
          <w:sz w:val="24"/>
          <w:szCs w:val="24"/>
        </w:rPr>
        <w:t xml:space="preserve">szczególną uwagę na </w:t>
      </w:r>
      <w:r>
        <w:rPr>
          <w:rStyle w:val="fontstyle01"/>
          <w:rFonts w:asciiTheme="minorHAnsi" w:hAnsiTheme="minorHAnsi" w:cstheme="minorHAnsi"/>
          <w:color w:val="auto"/>
          <w:sz w:val="24"/>
          <w:szCs w:val="24"/>
        </w:rPr>
        <w:t>konieczność ustanowienia instytucji</w:t>
      </w:r>
      <w:r w:rsidR="006647A0" w:rsidRPr="004A1DA6">
        <w:rPr>
          <w:rStyle w:val="fontstyle01"/>
          <w:rFonts w:asciiTheme="minorHAnsi" w:hAnsiTheme="minorHAnsi" w:cstheme="minorHAnsi"/>
          <w:color w:val="auto"/>
          <w:sz w:val="24"/>
          <w:szCs w:val="24"/>
        </w:rPr>
        <w:t xml:space="preserve"> pełnomocnika medycznego</w:t>
      </w:r>
      <w:r>
        <w:rPr>
          <w:rStyle w:val="fontstyle01"/>
          <w:rFonts w:asciiTheme="minorHAnsi" w:hAnsiTheme="minorHAnsi" w:cstheme="minorHAnsi"/>
          <w:color w:val="auto"/>
          <w:sz w:val="24"/>
          <w:szCs w:val="24"/>
        </w:rPr>
        <w:t xml:space="preserve"> oraz kuratora </w:t>
      </w:r>
      <w:r w:rsidR="006647A0" w:rsidRPr="004A1DA6">
        <w:rPr>
          <w:rStyle w:val="fontstyle01"/>
          <w:rFonts w:asciiTheme="minorHAnsi" w:hAnsiTheme="minorHAnsi" w:cstheme="minorHAnsi"/>
          <w:color w:val="auto"/>
          <w:sz w:val="24"/>
          <w:szCs w:val="24"/>
        </w:rPr>
        <w:t>me</w:t>
      </w:r>
      <w:r>
        <w:rPr>
          <w:rStyle w:val="fontstyle01"/>
          <w:rFonts w:asciiTheme="minorHAnsi" w:hAnsiTheme="minorHAnsi" w:cstheme="minorHAnsi"/>
          <w:color w:val="auto"/>
          <w:sz w:val="24"/>
          <w:szCs w:val="24"/>
        </w:rPr>
        <w:t>dycznego, a także powołania Rady</w:t>
      </w:r>
      <w:r w:rsidR="006647A0" w:rsidRPr="004A1DA6">
        <w:rPr>
          <w:rStyle w:val="fontstyle01"/>
          <w:rFonts w:asciiTheme="minorHAnsi" w:hAnsiTheme="minorHAnsi" w:cstheme="minorHAnsi"/>
          <w:color w:val="auto"/>
          <w:sz w:val="24"/>
          <w:szCs w:val="24"/>
        </w:rPr>
        <w:t xml:space="preserve"> Organizacji Pacjentów</w:t>
      </w:r>
      <w:r>
        <w:rPr>
          <w:rStyle w:val="fontstyle01"/>
          <w:rFonts w:asciiTheme="minorHAnsi" w:hAnsiTheme="minorHAnsi" w:cstheme="minorHAnsi"/>
          <w:color w:val="auto"/>
          <w:sz w:val="24"/>
          <w:szCs w:val="24"/>
        </w:rPr>
        <w:t>.</w:t>
      </w:r>
    </w:p>
    <w:p w14:paraId="1693B165" w14:textId="3CFE0543" w:rsidR="006647A0" w:rsidRPr="0078393C" w:rsidRDefault="0078393C" w:rsidP="0078393C">
      <w:pPr>
        <w:spacing w:after="160"/>
        <w:jc w:val="both"/>
        <w:rPr>
          <w:rStyle w:val="fontstyle01"/>
          <w:rFonts w:asciiTheme="minorHAnsi" w:hAnsiTheme="minorHAnsi" w:cstheme="minorHAnsi"/>
          <w:color w:val="auto"/>
          <w:sz w:val="24"/>
          <w:szCs w:val="24"/>
        </w:rPr>
      </w:pPr>
      <w:r w:rsidRPr="0078393C">
        <w:rPr>
          <w:rStyle w:val="fontstyle01"/>
          <w:rFonts w:asciiTheme="minorHAnsi" w:hAnsiTheme="minorHAnsi" w:cstheme="minorHAnsi"/>
          <w:color w:val="auto"/>
          <w:sz w:val="24"/>
          <w:szCs w:val="24"/>
        </w:rPr>
        <w:t>W oparciu o</w:t>
      </w:r>
      <w:r w:rsidR="006647A0" w:rsidRPr="0078393C">
        <w:rPr>
          <w:rStyle w:val="fontstyle01"/>
          <w:rFonts w:asciiTheme="minorHAnsi" w:hAnsiTheme="minorHAnsi" w:cstheme="minorHAnsi"/>
          <w:color w:val="auto"/>
          <w:sz w:val="24"/>
          <w:szCs w:val="24"/>
        </w:rPr>
        <w:t xml:space="preserve"> prace</w:t>
      </w:r>
      <w:r w:rsidR="006647A0" w:rsidRPr="0078393C">
        <w:rPr>
          <w:rFonts w:cstheme="minorHAnsi"/>
          <w:sz w:val="24"/>
          <w:szCs w:val="24"/>
        </w:rPr>
        <w:t xml:space="preserve"> </w:t>
      </w:r>
      <w:r w:rsidR="006647A0" w:rsidRPr="0078393C">
        <w:rPr>
          <w:rStyle w:val="fontstyle01"/>
          <w:rFonts w:asciiTheme="minorHAnsi" w:hAnsiTheme="minorHAnsi" w:cstheme="minorHAnsi"/>
          <w:color w:val="auto"/>
          <w:sz w:val="24"/>
          <w:szCs w:val="24"/>
        </w:rPr>
        <w:t>Zespołu ds. praw i bezpieczeństwa pacjenta</w:t>
      </w:r>
      <w:r>
        <w:rPr>
          <w:rStyle w:val="fontstyle01"/>
          <w:rFonts w:asciiTheme="minorHAnsi" w:hAnsiTheme="minorHAnsi" w:cstheme="minorHAnsi"/>
          <w:color w:val="auto"/>
          <w:sz w:val="24"/>
          <w:szCs w:val="24"/>
        </w:rPr>
        <w:t xml:space="preserve"> przy MZ zaznaczono konieczność </w:t>
      </w:r>
      <w:r w:rsidRPr="0078393C">
        <w:rPr>
          <w:rStyle w:val="fontstyle01"/>
          <w:rFonts w:asciiTheme="minorHAnsi" w:hAnsiTheme="minorHAnsi" w:cstheme="minorHAnsi"/>
          <w:color w:val="auto"/>
          <w:sz w:val="24"/>
          <w:szCs w:val="24"/>
        </w:rPr>
        <w:t xml:space="preserve">podkreślenia </w:t>
      </w:r>
      <w:r>
        <w:rPr>
          <w:rStyle w:val="fontstyle01"/>
          <w:rFonts w:asciiTheme="minorHAnsi" w:hAnsiTheme="minorHAnsi" w:cstheme="minorHAnsi"/>
          <w:color w:val="auto"/>
          <w:sz w:val="24"/>
          <w:szCs w:val="24"/>
        </w:rPr>
        <w:t xml:space="preserve">w przepisach </w:t>
      </w:r>
      <w:r w:rsidR="009B7A3F" w:rsidRPr="0078393C">
        <w:rPr>
          <w:rStyle w:val="fontstyle01"/>
          <w:rFonts w:asciiTheme="minorHAnsi" w:hAnsiTheme="minorHAnsi" w:cstheme="minorHAnsi"/>
          <w:color w:val="auto"/>
          <w:sz w:val="24"/>
          <w:szCs w:val="24"/>
        </w:rPr>
        <w:t>p</w:t>
      </w:r>
      <w:r>
        <w:rPr>
          <w:rStyle w:val="fontstyle01"/>
          <w:rFonts w:asciiTheme="minorHAnsi" w:hAnsiTheme="minorHAnsi" w:cstheme="minorHAnsi"/>
          <w:color w:val="auto"/>
          <w:sz w:val="24"/>
          <w:szCs w:val="24"/>
        </w:rPr>
        <w:t>raw</w:t>
      </w:r>
      <w:r w:rsidR="006647A0" w:rsidRPr="0078393C">
        <w:rPr>
          <w:rStyle w:val="fontstyle01"/>
          <w:rFonts w:asciiTheme="minorHAnsi" w:hAnsiTheme="minorHAnsi" w:cstheme="minorHAnsi"/>
          <w:color w:val="auto"/>
          <w:sz w:val="24"/>
          <w:szCs w:val="24"/>
        </w:rPr>
        <w:t xml:space="preserve"> p</w:t>
      </w:r>
      <w:r>
        <w:rPr>
          <w:rStyle w:val="fontstyle01"/>
          <w:rFonts w:asciiTheme="minorHAnsi" w:hAnsiTheme="minorHAnsi" w:cstheme="minorHAnsi"/>
          <w:color w:val="auto"/>
          <w:sz w:val="24"/>
          <w:szCs w:val="24"/>
        </w:rPr>
        <w:t>acjenta w badaniach klinicznych.</w:t>
      </w:r>
    </w:p>
    <w:p w14:paraId="64A5EF84" w14:textId="61264706" w:rsidR="000E00E4" w:rsidRPr="004A1DA6" w:rsidRDefault="000E00E4" w:rsidP="000E00E4">
      <w:pPr>
        <w:ind w:left="708"/>
        <w:jc w:val="both"/>
        <w:rPr>
          <w:rFonts w:cstheme="minorHAnsi"/>
          <w:b/>
          <w:sz w:val="24"/>
          <w:szCs w:val="24"/>
        </w:rPr>
      </w:pPr>
      <w:r w:rsidRPr="004A1DA6">
        <w:rPr>
          <w:rFonts w:cstheme="minorHAnsi"/>
          <w:b/>
          <w:sz w:val="24"/>
          <w:szCs w:val="24"/>
        </w:rPr>
        <w:t>REKOMENDACJE KOŃCOWE:</w:t>
      </w:r>
    </w:p>
    <w:p w14:paraId="0435EE22" w14:textId="6B6544E5" w:rsidR="0078393C" w:rsidRPr="0078393C" w:rsidRDefault="006647A0" w:rsidP="0078393C">
      <w:pPr>
        <w:pStyle w:val="Akapitzlist"/>
        <w:numPr>
          <w:ilvl w:val="0"/>
          <w:numId w:val="47"/>
        </w:numPr>
        <w:spacing w:after="160"/>
        <w:jc w:val="both"/>
        <w:rPr>
          <w:rStyle w:val="fontstyle01"/>
          <w:rFonts w:asciiTheme="minorHAnsi" w:hAnsiTheme="minorHAnsi" w:cstheme="minorHAnsi"/>
          <w:bCs/>
          <w:iCs/>
          <w:color w:val="auto"/>
          <w:sz w:val="24"/>
          <w:szCs w:val="24"/>
        </w:rPr>
      </w:pPr>
      <w:r w:rsidRPr="004A1DA6">
        <w:rPr>
          <w:rStyle w:val="fontstyle01"/>
          <w:rFonts w:asciiTheme="minorHAnsi" w:hAnsiTheme="minorHAnsi" w:cstheme="minorHAnsi"/>
          <w:color w:val="auto"/>
          <w:sz w:val="24"/>
          <w:szCs w:val="24"/>
        </w:rPr>
        <w:t>Konieczne jest stworzenie definicji dokumentacji m</w:t>
      </w:r>
      <w:r w:rsidR="0078393C">
        <w:rPr>
          <w:rStyle w:val="fontstyle01"/>
          <w:rFonts w:asciiTheme="minorHAnsi" w:hAnsiTheme="minorHAnsi" w:cstheme="minorHAnsi"/>
          <w:color w:val="auto"/>
          <w:sz w:val="24"/>
          <w:szCs w:val="24"/>
        </w:rPr>
        <w:t>edycznej</w:t>
      </w:r>
      <w:r w:rsidRPr="004A1DA6">
        <w:rPr>
          <w:rStyle w:val="fontstyle01"/>
          <w:rFonts w:asciiTheme="minorHAnsi" w:hAnsiTheme="minorHAnsi" w:cstheme="minorHAnsi"/>
          <w:color w:val="auto"/>
          <w:sz w:val="24"/>
          <w:szCs w:val="24"/>
        </w:rPr>
        <w:t xml:space="preserve">. Należy </w:t>
      </w:r>
      <w:r w:rsidR="000E00E4" w:rsidRPr="004A1DA6">
        <w:rPr>
          <w:rStyle w:val="fontstyle01"/>
          <w:rFonts w:asciiTheme="minorHAnsi" w:hAnsiTheme="minorHAnsi" w:cstheme="minorHAnsi"/>
          <w:color w:val="auto"/>
          <w:sz w:val="24"/>
          <w:szCs w:val="24"/>
        </w:rPr>
        <w:t xml:space="preserve">w tym celu </w:t>
      </w:r>
      <w:r w:rsidRPr="004A1DA6">
        <w:rPr>
          <w:rStyle w:val="fontstyle01"/>
          <w:rFonts w:asciiTheme="minorHAnsi" w:hAnsiTheme="minorHAnsi" w:cstheme="minorHAnsi"/>
          <w:color w:val="auto"/>
          <w:sz w:val="24"/>
          <w:szCs w:val="24"/>
        </w:rPr>
        <w:t xml:space="preserve">uporządkować wszystkie przepisy, które jej dotyczą. </w:t>
      </w:r>
      <w:r w:rsidR="0078393C">
        <w:rPr>
          <w:rStyle w:val="fontstyle01"/>
          <w:rFonts w:asciiTheme="minorHAnsi" w:hAnsiTheme="minorHAnsi" w:cstheme="minorHAnsi"/>
          <w:color w:val="auto"/>
          <w:sz w:val="24"/>
          <w:szCs w:val="24"/>
        </w:rPr>
        <w:t>Postulowano stworzenie odrę</w:t>
      </w:r>
      <w:r w:rsidRPr="0078393C">
        <w:rPr>
          <w:rStyle w:val="fontstyle01"/>
          <w:rFonts w:asciiTheme="minorHAnsi" w:hAnsiTheme="minorHAnsi" w:cstheme="minorHAnsi"/>
          <w:color w:val="auto"/>
          <w:sz w:val="24"/>
          <w:szCs w:val="24"/>
        </w:rPr>
        <w:t xml:space="preserve">bnej ustawy </w:t>
      </w:r>
      <w:r w:rsidR="0078393C">
        <w:rPr>
          <w:rStyle w:val="fontstyle01"/>
          <w:rFonts w:asciiTheme="minorHAnsi" w:hAnsiTheme="minorHAnsi" w:cstheme="minorHAnsi"/>
          <w:color w:val="auto"/>
          <w:sz w:val="24"/>
          <w:szCs w:val="24"/>
        </w:rPr>
        <w:t xml:space="preserve">temu poświęconej, która powinna </w:t>
      </w:r>
      <w:r w:rsidRPr="0078393C">
        <w:rPr>
          <w:rStyle w:val="fontstyle01"/>
          <w:rFonts w:asciiTheme="minorHAnsi" w:hAnsiTheme="minorHAnsi" w:cstheme="minorHAnsi"/>
          <w:color w:val="auto"/>
          <w:sz w:val="24"/>
          <w:szCs w:val="24"/>
        </w:rPr>
        <w:t xml:space="preserve">obejmować zarówno przepisy dotyczące dokumentacji papierowej jak i </w:t>
      </w:r>
      <w:r w:rsidR="0078393C">
        <w:rPr>
          <w:rStyle w:val="fontstyle01"/>
          <w:rFonts w:asciiTheme="minorHAnsi" w:hAnsiTheme="minorHAnsi" w:cstheme="minorHAnsi"/>
          <w:color w:val="auto"/>
          <w:sz w:val="24"/>
          <w:szCs w:val="24"/>
        </w:rPr>
        <w:t>elektronicznej</w:t>
      </w:r>
      <w:r w:rsidR="00BA4456">
        <w:rPr>
          <w:rStyle w:val="fontstyle01"/>
          <w:rFonts w:asciiTheme="minorHAnsi" w:hAnsiTheme="minorHAnsi" w:cstheme="minorHAnsi"/>
          <w:color w:val="auto"/>
          <w:sz w:val="24"/>
          <w:szCs w:val="24"/>
        </w:rPr>
        <w:t>,</w:t>
      </w:r>
      <w:r w:rsidR="0078393C">
        <w:rPr>
          <w:rStyle w:val="fontstyle01"/>
          <w:rFonts w:asciiTheme="minorHAnsi" w:hAnsiTheme="minorHAnsi" w:cstheme="minorHAnsi"/>
          <w:color w:val="auto"/>
          <w:sz w:val="24"/>
          <w:szCs w:val="24"/>
        </w:rPr>
        <w:t xml:space="preserve"> oraz </w:t>
      </w:r>
      <w:r w:rsidR="00BA4456">
        <w:rPr>
          <w:rStyle w:val="fontstyle01"/>
          <w:rFonts w:asciiTheme="minorHAnsi" w:hAnsiTheme="minorHAnsi" w:cstheme="minorHAnsi"/>
          <w:color w:val="auto"/>
          <w:sz w:val="24"/>
          <w:szCs w:val="24"/>
        </w:rPr>
        <w:t xml:space="preserve">uwzględnić </w:t>
      </w:r>
      <w:r w:rsidR="0078393C">
        <w:rPr>
          <w:rStyle w:val="fontstyle01"/>
          <w:rFonts w:asciiTheme="minorHAnsi" w:hAnsiTheme="minorHAnsi" w:cstheme="minorHAnsi"/>
          <w:color w:val="auto"/>
          <w:sz w:val="24"/>
          <w:szCs w:val="24"/>
        </w:rPr>
        <w:t xml:space="preserve">oddzielny aspekt </w:t>
      </w:r>
      <w:r w:rsidRPr="0078393C">
        <w:rPr>
          <w:rStyle w:val="fontstyle01"/>
          <w:rFonts w:asciiTheme="minorHAnsi" w:hAnsiTheme="minorHAnsi" w:cstheme="minorHAnsi"/>
          <w:color w:val="auto"/>
          <w:sz w:val="24"/>
          <w:szCs w:val="24"/>
        </w:rPr>
        <w:t xml:space="preserve"> </w:t>
      </w:r>
      <w:r w:rsidR="0078393C">
        <w:rPr>
          <w:rStyle w:val="fontstyle01"/>
          <w:rFonts w:asciiTheme="minorHAnsi" w:hAnsiTheme="minorHAnsi" w:cstheme="minorHAnsi"/>
          <w:color w:val="auto"/>
          <w:sz w:val="24"/>
          <w:szCs w:val="24"/>
        </w:rPr>
        <w:t>praw</w:t>
      </w:r>
      <w:r w:rsidR="000E00E4" w:rsidRPr="0078393C">
        <w:rPr>
          <w:rStyle w:val="fontstyle01"/>
          <w:rFonts w:asciiTheme="minorHAnsi" w:hAnsiTheme="minorHAnsi" w:cstheme="minorHAnsi"/>
          <w:color w:val="auto"/>
          <w:sz w:val="24"/>
          <w:szCs w:val="24"/>
        </w:rPr>
        <w:t xml:space="preserve"> dziecka, które trzeba p</w:t>
      </w:r>
      <w:r w:rsidRPr="0078393C">
        <w:rPr>
          <w:rStyle w:val="fontstyle01"/>
          <w:rFonts w:asciiTheme="minorHAnsi" w:hAnsiTheme="minorHAnsi" w:cstheme="minorHAnsi"/>
          <w:color w:val="auto"/>
          <w:sz w:val="24"/>
          <w:szCs w:val="24"/>
        </w:rPr>
        <w:t>otra</w:t>
      </w:r>
      <w:r w:rsidR="000E00E4" w:rsidRPr="0078393C">
        <w:rPr>
          <w:rStyle w:val="fontstyle01"/>
          <w:rFonts w:asciiTheme="minorHAnsi" w:hAnsiTheme="minorHAnsi" w:cstheme="minorHAnsi"/>
          <w:color w:val="auto"/>
          <w:sz w:val="24"/>
          <w:szCs w:val="24"/>
        </w:rPr>
        <w:t xml:space="preserve">ktować </w:t>
      </w:r>
      <w:r w:rsidRPr="0078393C">
        <w:rPr>
          <w:rStyle w:val="fontstyle01"/>
          <w:rFonts w:asciiTheme="minorHAnsi" w:hAnsiTheme="minorHAnsi" w:cstheme="minorHAnsi"/>
          <w:color w:val="auto"/>
          <w:sz w:val="24"/>
          <w:szCs w:val="24"/>
        </w:rPr>
        <w:t xml:space="preserve">priorytetowo. </w:t>
      </w:r>
    </w:p>
    <w:p w14:paraId="54FF5C0C" w14:textId="77777777" w:rsidR="0078393C" w:rsidRPr="0078393C" w:rsidRDefault="000E00E4" w:rsidP="0078393C">
      <w:pPr>
        <w:pStyle w:val="Akapitzlist"/>
        <w:numPr>
          <w:ilvl w:val="0"/>
          <w:numId w:val="47"/>
        </w:numPr>
        <w:spacing w:after="160"/>
        <w:jc w:val="both"/>
        <w:rPr>
          <w:rStyle w:val="fontstyle01"/>
          <w:rFonts w:asciiTheme="minorHAnsi" w:hAnsiTheme="minorHAnsi" w:cstheme="minorHAnsi"/>
          <w:bCs/>
          <w:iCs/>
          <w:color w:val="auto"/>
          <w:sz w:val="24"/>
          <w:szCs w:val="24"/>
        </w:rPr>
      </w:pPr>
      <w:r w:rsidRPr="0078393C">
        <w:rPr>
          <w:rStyle w:val="fontstyle01"/>
          <w:rFonts w:asciiTheme="minorHAnsi" w:hAnsiTheme="minorHAnsi" w:cstheme="minorHAnsi"/>
          <w:color w:val="auto"/>
          <w:sz w:val="24"/>
          <w:szCs w:val="24"/>
        </w:rPr>
        <w:t>Ś</w:t>
      </w:r>
      <w:r w:rsidR="006647A0" w:rsidRPr="0078393C">
        <w:rPr>
          <w:rStyle w:val="fontstyle01"/>
          <w:rFonts w:asciiTheme="minorHAnsi" w:hAnsiTheme="minorHAnsi" w:cstheme="minorHAnsi"/>
          <w:color w:val="auto"/>
          <w:sz w:val="24"/>
          <w:szCs w:val="24"/>
        </w:rPr>
        <w:t xml:space="preserve">wiadczenia </w:t>
      </w:r>
      <w:r w:rsidRPr="0078393C">
        <w:rPr>
          <w:rStyle w:val="fontstyle01"/>
          <w:rFonts w:asciiTheme="minorHAnsi" w:hAnsiTheme="minorHAnsi" w:cstheme="minorHAnsi"/>
          <w:color w:val="auto"/>
          <w:sz w:val="24"/>
          <w:szCs w:val="24"/>
        </w:rPr>
        <w:t xml:space="preserve">dla dzieci </w:t>
      </w:r>
      <w:r w:rsidR="006647A0" w:rsidRPr="0078393C">
        <w:rPr>
          <w:rStyle w:val="fontstyle01"/>
          <w:rFonts w:asciiTheme="minorHAnsi" w:hAnsiTheme="minorHAnsi" w:cstheme="minorHAnsi"/>
          <w:color w:val="auto"/>
          <w:sz w:val="24"/>
          <w:szCs w:val="24"/>
        </w:rPr>
        <w:t>powinny być udzielane poza kolejnością</w:t>
      </w:r>
      <w:r w:rsidR="0078393C">
        <w:rPr>
          <w:rStyle w:val="fontstyle01"/>
          <w:rFonts w:asciiTheme="minorHAnsi" w:hAnsiTheme="minorHAnsi" w:cstheme="minorHAnsi"/>
          <w:color w:val="auto"/>
          <w:sz w:val="24"/>
          <w:szCs w:val="24"/>
        </w:rPr>
        <w:t xml:space="preserve">  i w możliwie jak najbardziej komfortowych warunkach w oparciu o respektowanie zasady</w:t>
      </w:r>
      <w:r w:rsidR="006647A0" w:rsidRPr="0078393C">
        <w:rPr>
          <w:rStyle w:val="fontstyle01"/>
          <w:rFonts w:asciiTheme="minorHAnsi" w:hAnsiTheme="minorHAnsi" w:cstheme="minorHAnsi"/>
          <w:color w:val="auto"/>
          <w:sz w:val="24"/>
          <w:szCs w:val="24"/>
        </w:rPr>
        <w:t xml:space="preserve"> obecności przy dziecku opiekuna.</w:t>
      </w:r>
    </w:p>
    <w:p w14:paraId="427605C5" w14:textId="2710FFC7" w:rsidR="00F246BC" w:rsidRPr="0078393C" w:rsidRDefault="00611C61" w:rsidP="0078393C">
      <w:pPr>
        <w:pStyle w:val="Akapitzlist"/>
        <w:numPr>
          <w:ilvl w:val="0"/>
          <w:numId w:val="47"/>
        </w:numPr>
        <w:spacing w:after="160"/>
        <w:jc w:val="both"/>
        <w:rPr>
          <w:rStyle w:val="fontstyle01"/>
          <w:rFonts w:asciiTheme="minorHAnsi" w:hAnsiTheme="minorHAnsi" w:cstheme="minorHAnsi"/>
          <w:bCs/>
          <w:iCs/>
          <w:color w:val="auto"/>
          <w:sz w:val="24"/>
          <w:szCs w:val="24"/>
        </w:rPr>
      </w:pPr>
      <w:r>
        <w:rPr>
          <w:rStyle w:val="fontstyle01"/>
          <w:rFonts w:asciiTheme="minorHAnsi" w:hAnsiTheme="minorHAnsi" w:cstheme="minorHAnsi"/>
          <w:bCs/>
          <w:iCs/>
          <w:color w:val="auto"/>
          <w:sz w:val="24"/>
          <w:szCs w:val="24"/>
        </w:rPr>
        <w:t xml:space="preserve">Przepisy </w:t>
      </w:r>
      <w:r w:rsidR="00F246BC" w:rsidRPr="0078393C">
        <w:rPr>
          <w:rStyle w:val="fontstyle01"/>
          <w:rFonts w:asciiTheme="minorHAnsi" w:hAnsiTheme="minorHAnsi" w:cstheme="minorHAnsi"/>
          <w:bCs/>
          <w:iCs/>
          <w:color w:val="auto"/>
          <w:sz w:val="24"/>
          <w:szCs w:val="24"/>
        </w:rPr>
        <w:t xml:space="preserve">Europejskiej Karty Praw Dziecka w Szpitalu </w:t>
      </w:r>
      <w:r>
        <w:rPr>
          <w:rStyle w:val="fontstyle01"/>
          <w:rFonts w:asciiTheme="minorHAnsi" w:hAnsiTheme="minorHAnsi" w:cstheme="minorHAnsi"/>
          <w:bCs/>
          <w:iCs/>
          <w:color w:val="auto"/>
          <w:sz w:val="24"/>
          <w:szCs w:val="24"/>
        </w:rPr>
        <w:t xml:space="preserve">powinny być włączone </w:t>
      </w:r>
      <w:r w:rsidR="00F246BC" w:rsidRPr="0078393C">
        <w:rPr>
          <w:rStyle w:val="fontstyle01"/>
          <w:rFonts w:asciiTheme="minorHAnsi" w:hAnsiTheme="minorHAnsi" w:cstheme="minorHAnsi"/>
          <w:bCs/>
          <w:iCs/>
          <w:color w:val="auto"/>
          <w:sz w:val="24"/>
          <w:szCs w:val="24"/>
        </w:rPr>
        <w:t xml:space="preserve">do </w:t>
      </w:r>
      <w:r>
        <w:rPr>
          <w:rStyle w:val="fontstyle01"/>
          <w:rFonts w:asciiTheme="minorHAnsi" w:hAnsiTheme="minorHAnsi" w:cstheme="minorHAnsi"/>
          <w:bCs/>
          <w:iCs/>
          <w:color w:val="auto"/>
          <w:sz w:val="24"/>
          <w:szCs w:val="24"/>
        </w:rPr>
        <w:t xml:space="preserve">polskich </w:t>
      </w:r>
      <w:r w:rsidR="00F246BC" w:rsidRPr="0078393C">
        <w:rPr>
          <w:rStyle w:val="fontstyle01"/>
          <w:rFonts w:asciiTheme="minorHAnsi" w:hAnsiTheme="minorHAnsi" w:cstheme="minorHAnsi"/>
          <w:bCs/>
          <w:iCs/>
          <w:color w:val="auto"/>
          <w:sz w:val="24"/>
          <w:szCs w:val="24"/>
        </w:rPr>
        <w:t>przepisów ustawowych</w:t>
      </w:r>
      <w:r w:rsidR="0078393C">
        <w:rPr>
          <w:rStyle w:val="fontstyle01"/>
          <w:rFonts w:asciiTheme="minorHAnsi" w:hAnsiTheme="minorHAnsi" w:cstheme="minorHAnsi"/>
          <w:bCs/>
          <w:iCs/>
          <w:color w:val="auto"/>
          <w:sz w:val="24"/>
          <w:szCs w:val="24"/>
        </w:rPr>
        <w:t xml:space="preserve">. </w:t>
      </w:r>
      <w:r w:rsidR="00F246BC" w:rsidRPr="0078393C">
        <w:rPr>
          <w:rStyle w:val="fontstyle01"/>
          <w:rFonts w:asciiTheme="minorHAnsi" w:hAnsiTheme="minorHAnsi" w:cstheme="minorHAnsi"/>
          <w:bCs/>
          <w:iCs/>
          <w:color w:val="auto"/>
          <w:sz w:val="24"/>
          <w:szCs w:val="24"/>
        </w:rPr>
        <w:t>Dziecko powinno być leczone w warunkach szpitalnych tylko wówczas</w:t>
      </w:r>
      <w:r w:rsidR="00BA4456">
        <w:rPr>
          <w:rStyle w:val="fontstyle01"/>
          <w:rFonts w:asciiTheme="minorHAnsi" w:hAnsiTheme="minorHAnsi" w:cstheme="minorHAnsi"/>
          <w:bCs/>
          <w:iCs/>
          <w:color w:val="auto"/>
          <w:sz w:val="24"/>
          <w:szCs w:val="24"/>
        </w:rPr>
        <w:t>,</w:t>
      </w:r>
      <w:r w:rsidR="00F246BC" w:rsidRPr="0078393C">
        <w:rPr>
          <w:rStyle w:val="fontstyle01"/>
          <w:rFonts w:asciiTheme="minorHAnsi" w:hAnsiTheme="minorHAnsi" w:cstheme="minorHAnsi"/>
          <w:bCs/>
          <w:iCs/>
          <w:color w:val="auto"/>
          <w:sz w:val="24"/>
          <w:szCs w:val="24"/>
        </w:rPr>
        <w:t xml:space="preserve"> kiedy jest to niezbędne.</w:t>
      </w:r>
    </w:p>
    <w:p w14:paraId="62F42AE9" w14:textId="20A94004" w:rsidR="000E00E4" w:rsidRPr="00F246BC" w:rsidRDefault="006647A0" w:rsidP="000E00E4">
      <w:pPr>
        <w:pStyle w:val="Akapitzlist"/>
        <w:numPr>
          <w:ilvl w:val="0"/>
          <w:numId w:val="47"/>
        </w:numPr>
        <w:jc w:val="both"/>
        <w:rPr>
          <w:rStyle w:val="fontstyle01"/>
          <w:rFonts w:asciiTheme="minorHAnsi" w:hAnsiTheme="minorHAnsi" w:cstheme="minorHAnsi"/>
          <w:color w:val="auto"/>
          <w:sz w:val="24"/>
          <w:szCs w:val="24"/>
        </w:rPr>
      </w:pPr>
      <w:r w:rsidRPr="00F246BC">
        <w:rPr>
          <w:rStyle w:val="fontstyle01"/>
          <w:rFonts w:asciiTheme="minorHAnsi" w:hAnsiTheme="minorHAnsi" w:cstheme="minorHAnsi"/>
          <w:color w:val="auto"/>
          <w:sz w:val="24"/>
          <w:szCs w:val="24"/>
        </w:rPr>
        <w:t>Obecnie mamy połączone prawo do intymności i godności.</w:t>
      </w:r>
      <w:r w:rsidR="00611C61">
        <w:rPr>
          <w:rStyle w:val="fontstyle01"/>
          <w:rFonts w:asciiTheme="minorHAnsi" w:hAnsiTheme="minorHAnsi" w:cstheme="minorHAnsi"/>
          <w:color w:val="auto"/>
          <w:sz w:val="24"/>
          <w:szCs w:val="24"/>
        </w:rPr>
        <w:t xml:space="preserve"> Jednakże </w:t>
      </w:r>
      <w:r w:rsidR="00611C61" w:rsidRPr="00F246BC">
        <w:rPr>
          <w:rStyle w:val="fontstyle01"/>
          <w:rFonts w:asciiTheme="minorHAnsi" w:hAnsiTheme="minorHAnsi" w:cstheme="minorHAnsi"/>
          <w:color w:val="auto"/>
          <w:sz w:val="24"/>
          <w:szCs w:val="24"/>
        </w:rPr>
        <w:t>prawo pacjenta do godności ze względu na jego szczególne znaczenie</w:t>
      </w:r>
      <w:r w:rsidR="00611C61">
        <w:rPr>
          <w:rStyle w:val="fontstyle01"/>
          <w:rFonts w:asciiTheme="minorHAnsi" w:hAnsiTheme="minorHAnsi" w:cstheme="minorHAnsi"/>
          <w:color w:val="auto"/>
          <w:sz w:val="24"/>
          <w:szCs w:val="24"/>
        </w:rPr>
        <w:t xml:space="preserve"> n</w:t>
      </w:r>
      <w:r w:rsidR="00611C61" w:rsidRPr="00F246BC">
        <w:rPr>
          <w:rStyle w:val="fontstyle01"/>
          <w:rFonts w:asciiTheme="minorHAnsi" w:hAnsiTheme="minorHAnsi" w:cstheme="minorHAnsi"/>
          <w:color w:val="auto"/>
          <w:sz w:val="24"/>
          <w:szCs w:val="24"/>
        </w:rPr>
        <w:t>ależy potraktować</w:t>
      </w:r>
      <w:r w:rsidR="00611C61">
        <w:rPr>
          <w:rStyle w:val="fontstyle01"/>
          <w:rFonts w:asciiTheme="minorHAnsi" w:hAnsiTheme="minorHAnsi" w:cstheme="minorHAnsi"/>
          <w:color w:val="auto"/>
          <w:sz w:val="24"/>
          <w:szCs w:val="24"/>
        </w:rPr>
        <w:t xml:space="preserve"> odrębnie, w tym n</w:t>
      </w:r>
      <w:r w:rsidRPr="00F246BC">
        <w:rPr>
          <w:rStyle w:val="fontstyle01"/>
          <w:rFonts w:asciiTheme="minorHAnsi" w:hAnsiTheme="minorHAnsi" w:cstheme="minorHAnsi"/>
          <w:color w:val="auto"/>
          <w:sz w:val="24"/>
          <w:szCs w:val="24"/>
        </w:rPr>
        <w:t>ależy przyjrzeć się szczególnie traktowaniu pacjentów przebywających pod opieką psychiatryczną.</w:t>
      </w:r>
    </w:p>
    <w:p w14:paraId="1F10CD14" w14:textId="54320E1B" w:rsidR="006647A0" w:rsidRPr="00F246BC" w:rsidRDefault="006647A0" w:rsidP="000E00E4">
      <w:pPr>
        <w:pStyle w:val="Akapitzlist"/>
        <w:numPr>
          <w:ilvl w:val="0"/>
          <w:numId w:val="47"/>
        </w:numPr>
        <w:spacing w:after="160"/>
        <w:jc w:val="both"/>
        <w:rPr>
          <w:rStyle w:val="fontstyle01"/>
          <w:rFonts w:asciiTheme="minorHAnsi" w:hAnsiTheme="minorHAnsi" w:cstheme="minorHAnsi"/>
          <w:color w:val="auto"/>
          <w:sz w:val="24"/>
          <w:szCs w:val="24"/>
        </w:rPr>
      </w:pPr>
      <w:r w:rsidRPr="00F246BC">
        <w:rPr>
          <w:rStyle w:val="fontstyle01"/>
          <w:rFonts w:asciiTheme="minorHAnsi" w:hAnsiTheme="minorHAnsi" w:cstheme="minorHAnsi"/>
          <w:color w:val="auto"/>
          <w:sz w:val="24"/>
          <w:szCs w:val="24"/>
        </w:rPr>
        <w:t xml:space="preserve">Istotne jest </w:t>
      </w:r>
      <w:r w:rsidR="000F02A9" w:rsidRPr="00F246BC">
        <w:rPr>
          <w:rStyle w:val="fontstyle01"/>
          <w:rFonts w:asciiTheme="minorHAnsi" w:hAnsiTheme="minorHAnsi" w:cstheme="minorHAnsi"/>
          <w:color w:val="auto"/>
          <w:sz w:val="24"/>
          <w:szCs w:val="24"/>
        </w:rPr>
        <w:t xml:space="preserve">aktywne </w:t>
      </w:r>
      <w:r w:rsidRPr="00F246BC">
        <w:rPr>
          <w:rStyle w:val="fontstyle01"/>
          <w:rFonts w:asciiTheme="minorHAnsi" w:hAnsiTheme="minorHAnsi" w:cstheme="minorHAnsi"/>
          <w:color w:val="auto"/>
          <w:sz w:val="24"/>
          <w:szCs w:val="24"/>
        </w:rPr>
        <w:t xml:space="preserve">włączenie pacjenta do procesu leczenia. Pacjent powinien  oprócz praw mieć również obowiązki. To on powinien być  </w:t>
      </w:r>
      <w:r w:rsidR="009E6AC0">
        <w:rPr>
          <w:rStyle w:val="fontstyle01"/>
          <w:rFonts w:asciiTheme="minorHAnsi" w:hAnsiTheme="minorHAnsi" w:cstheme="minorHAnsi"/>
          <w:color w:val="auto"/>
          <w:sz w:val="24"/>
          <w:szCs w:val="24"/>
        </w:rPr>
        <w:t>współ</w:t>
      </w:r>
      <w:r w:rsidRPr="00F246BC">
        <w:rPr>
          <w:rStyle w:val="fontstyle01"/>
          <w:rFonts w:asciiTheme="minorHAnsi" w:hAnsiTheme="minorHAnsi" w:cstheme="minorHAnsi"/>
          <w:color w:val="auto"/>
          <w:sz w:val="24"/>
          <w:szCs w:val="24"/>
        </w:rPr>
        <w:t xml:space="preserve">odpowiedzialny za profilaktykę oraz przestrzeganie zaleceń lekarskich. Współpraca pacjenta z lekarzem umożliwi poprawę skuteczności leczenia i będzie miała wpływ na jego </w:t>
      </w:r>
      <w:r w:rsidR="00BA4456">
        <w:rPr>
          <w:rStyle w:val="fontstyle01"/>
          <w:rFonts w:asciiTheme="minorHAnsi" w:hAnsiTheme="minorHAnsi" w:cstheme="minorHAnsi"/>
          <w:color w:val="auto"/>
          <w:sz w:val="24"/>
          <w:szCs w:val="24"/>
        </w:rPr>
        <w:t xml:space="preserve">lepsze </w:t>
      </w:r>
      <w:r w:rsidRPr="00F246BC">
        <w:rPr>
          <w:rStyle w:val="fontstyle01"/>
          <w:rFonts w:asciiTheme="minorHAnsi" w:hAnsiTheme="minorHAnsi" w:cstheme="minorHAnsi"/>
          <w:color w:val="auto"/>
          <w:sz w:val="24"/>
          <w:szCs w:val="24"/>
        </w:rPr>
        <w:t>efekty</w:t>
      </w:r>
      <w:r w:rsidR="00BA4456">
        <w:rPr>
          <w:rStyle w:val="fontstyle01"/>
          <w:rFonts w:asciiTheme="minorHAnsi" w:hAnsiTheme="minorHAnsi" w:cstheme="minorHAnsi"/>
          <w:color w:val="auto"/>
          <w:sz w:val="24"/>
          <w:szCs w:val="24"/>
        </w:rPr>
        <w:t>.</w:t>
      </w:r>
    </w:p>
    <w:p w14:paraId="5E697FD7" w14:textId="0ECCAB99" w:rsidR="00606389" w:rsidRPr="00282A6C" w:rsidRDefault="00611C61" w:rsidP="00282A6C">
      <w:pPr>
        <w:pStyle w:val="Akapitzlist"/>
        <w:numPr>
          <w:ilvl w:val="0"/>
          <w:numId w:val="47"/>
        </w:numPr>
        <w:spacing w:after="160"/>
        <w:jc w:val="both"/>
        <w:rPr>
          <w:rStyle w:val="fontstyle01"/>
          <w:rFonts w:asciiTheme="minorHAnsi" w:hAnsiTheme="minorHAnsi" w:cstheme="minorHAnsi"/>
          <w:bCs/>
          <w:iCs/>
          <w:color w:val="auto"/>
          <w:sz w:val="24"/>
          <w:szCs w:val="24"/>
        </w:rPr>
      </w:pPr>
      <w:r>
        <w:rPr>
          <w:rFonts w:cstheme="minorHAnsi"/>
          <w:bCs/>
          <w:iCs/>
          <w:sz w:val="24"/>
          <w:szCs w:val="24"/>
        </w:rPr>
        <w:t>Postuluje się u</w:t>
      </w:r>
      <w:r w:rsidR="006647A0" w:rsidRPr="00F246BC">
        <w:rPr>
          <w:rFonts w:cstheme="minorHAnsi"/>
          <w:bCs/>
          <w:iCs/>
          <w:sz w:val="24"/>
          <w:szCs w:val="24"/>
        </w:rPr>
        <w:t>sprawnienie kontaktu pa</w:t>
      </w:r>
      <w:r w:rsidR="00282A6C">
        <w:rPr>
          <w:rFonts w:cstheme="minorHAnsi"/>
          <w:bCs/>
          <w:iCs/>
          <w:sz w:val="24"/>
          <w:szCs w:val="24"/>
        </w:rPr>
        <w:t>cjenta z placówkami medycznymi poprzez</w:t>
      </w:r>
      <w:r w:rsidR="006647A0" w:rsidRPr="00F246BC">
        <w:rPr>
          <w:rFonts w:cstheme="minorHAnsi"/>
          <w:bCs/>
          <w:iCs/>
          <w:sz w:val="24"/>
          <w:szCs w:val="24"/>
        </w:rPr>
        <w:t xml:space="preserve"> </w:t>
      </w:r>
      <w:r>
        <w:rPr>
          <w:rFonts w:cstheme="minorHAnsi"/>
          <w:bCs/>
          <w:iCs/>
          <w:sz w:val="24"/>
          <w:szCs w:val="24"/>
        </w:rPr>
        <w:t xml:space="preserve">szersze </w:t>
      </w:r>
      <w:r w:rsidR="006647A0" w:rsidRPr="00F246BC">
        <w:rPr>
          <w:rFonts w:cstheme="minorHAnsi"/>
          <w:bCs/>
          <w:iCs/>
          <w:sz w:val="24"/>
          <w:szCs w:val="24"/>
        </w:rPr>
        <w:t>wdrożenie rozwiązań informatycznych</w:t>
      </w:r>
      <w:r w:rsidR="00282A6C">
        <w:rPr>
          <w:rFonts w:cstheme="minorHAnsi"/>
          <w:bCs/>
          <w:iCs/>
          <w:sz w:val="24"/>
          <w:szCs w:val="24"/>
        </w:rPr>
        <w:t>.</w:t>
      </w:r>
    </w:p>
    <w:p w14:paraId="194720FB" w14:textId="5CDFC5FA" w:rsidR="005F3463" w:rsidRPr="00606389" w:rsidRDefault="005F3463" w:rsidP="00492F7A">
      <w:pPr>
        <w:rPr>
          <w:rFonts w:cstheme="minorHAnsi"/>
          <w:sz w:val="24"/>
          <w:szCs w:val="24"/>
        </w:rPr>
      </w:pPr>
    </w:p>
    <w:p w14:paraId="0207CD62" w14:textId="13B15E8B" w:rsidR="005F3463" w:rsidRPr="00561FA0" w:rsidRDefault="003A6D40" w:rsidP="0031016B">
      <w:pPr>
        <w:ind w:firstLine="708"/>
        <w:rPr>
          <w:rFonts w:cstheme="minorHAnsi"/>
          <w:b/>
          <w:sz w:val="24"/>
          <w:szCs w:val="24"/>
        </w:rPr>
      </w:pPr>
      <w:r w:rsidRPr="00561FA0">
        <w:rPr>
          <w:rFonts w:cstheme="minorHAnsi"/>
          <w:b/>
          <w:sz w:val="24"/>
          <w:szCs w:val="24"/>
        </w:rPr>
        <w:t xml:space="preserve">ORGANIZACJA BADAŃ PROFILAKTYCZNYCH </w:t>
      </w:r>
    </w:p>
    <w:p w14:paraId="1149B31E" w14:textId="359B16D8" w:rsidR="007A7F89" w:rsidRDefault="004E6AEF" w:rsidP="007A7F89">
      <w:pPr>
        <w:pStyle w:val="Akapitzlist"/>
        <w:rPr>
          <w:rFonts w:cstheme="minorHAnsi"/>
          <w:sz w:val="24"/>
          <w:szCs w:val="24"/>
        </w:rPr>
      </w:pPr>
      <w:r>
        <w:rPr>
          <w:rFonts w:cstheme="minorHAnsi"/>
          <w:sz w:val="24"/>
          <w:szCs w:val="24"/>
        </w:rPr>
        <w:t>Konieczne jest zastosowanie</w:t>
      </w:r>
      <w:r w:rsidR="006647A0" w:rsidRPr="00606389">
        <w:rPr>
          <w:rFonts w:cstheme="minorHAnsi"/>
          <w:sz w:val="24"/>
          <w:szCs w:val="24"/>
        </w:rPr>
        <w:t xml:space="preserve"> skutecznych, wydajnych i opłacalnych działań na rzecz zwiększenia</w:t>
      </w:r>
      <w:r w:rsidR="007A7F89">
        <w:rPr>
          <w:rFonts w:cstheme="minorHAnsi"/>
          <w:sz w:val="24"/>
          <w:szCs w:val="24"/>
        </w:rPr>
        <w:t xml:space="preserve">, obecnie zdecydowanie zbyt niskiej, </w:t>
      </w:r>
      <w:r w:rsidR="006647A0" w:rsidRPr="00606389">
        <w:rPr>
          <w:rFonts w:cstheme="minorHAnsi"/>
          <w:sz w:val="24"/>
          <w:szCs w:val="24"/>
        </w:rPr>
        <w:t xml:space="preserve"> zgłaszalności na badania przesiewowe.</w:t>
      </w:r>
      <w:r w:rsidR="007A7F89">
        <w:rPr>
          <w:rFonts w:cstheme="minorHAnsi"/>
          <w:sz w:val="24"/>
          <w:szCs w:val="24"/>
        </w:rPr>
        <w:t xml:space="preserve"> </w:t>
      </w:r>
      <w:r w:rsidR="00BA4456">
        <w:rPr>
          <w:rFonts w:cstheme="minorHAnsi"/>
          <w:sz w:val="24"/>
          <w:szCs w:val="24"/>
        </w:rPr>
        <w:t>Jednym z rozwiązań mogą być z</w:t>
      </w:r>
      <w:r w:rsidR="006647A0" w:rsidRPr="00606389">
        <w:rPr>
          <w:rFonts w:cstheme="minorHAnsi"/>
          <w:sz w:val="24"/>
          <w:szCs w:val="24"/>
        </w:rPr>
        <w:t>aproszenia telefoniczne</w:t>
      </w:r>
      <w:r w:rsidR="00BA4456">
        <w:rPr>
          <w:rFonts w:cstheme="minorHAnsi"/>
          <w:sz w:val="24"/>
          <w:szCs w:val="24"/>
        </w:rPr>
        <w:t>, które</w:t>
      </w:r>
      <w:r w:rsidR="006647A0" w:rsidRPr="00606389">
        <w:rPr>
          <w:rFonts w:cstheme="minorHAnsi"/>
          <w:sz w:val="24"/>
          <w:szCs w:val="24"/>
        </w:rPr>
        <w:t xml:space="preserve"> sprawdzają się w różnych projektach, zarówno onkologicznych</w:t>
      </w:r>
      <w:r w:rsidR="00F95662" w:rsidRPr="00606389">
        <w:rPr>
          <w:rFonts w:cstheme="minorHAnsi"/>
          <w:sz w:val="24"/>
          <w:szCs w:val="24"/>
        </w:rPr>
        <w:t>,</w:t>
      </w:r>
      <w:r w:rsidR="006647A0" w:rsidRPr="00606389">
        <w:rPr>
          <w:rFonts w:cstheme="minorHAnsi"/>
          <w:sz w:val="24"/>
          <w:szCs w:val="24"/>
        </w:rPr>
        <w:t xml:space="preserve"> jak i metabolicznych. </w:t>
      </w:r>
      <w:r w:rsidR="00F95662" w:rsidRPr="00606389">
        <w:rPr>
          <w:rFonts w:cstheme="minorHAnsi"/>
          <w:sz w:val="24"/>
          <w:szCs w:val="24"/>
        </w:rPr>
        <w:t>Najważniejs</w:t>
      </w:r>
      <w:r>
        <w:rPr>
          <w:rFonts w:cstheme="minorHAnsi"/>
          <w:sz w:val="24"/>
          <w:szCs w:val="24"/>
        </w:rPr>
        <w:t>za jest rozmowa z pacjentem, która jest</w:t>
      </w:r>
      <w:r w:rsidR="00F95662" w:rsidRPr="00606389">
        <w:rPr>
          <w:rFonts w:cstheme="minorHAnsi"/>
          <w:sz w:val="24"/>
          <w:szCs w:val="24"/>
        </w:rPr>
        <w:t xml:space="preserve"> klucz</w:t>
      </w:r>
      <w:r>
        <w:rPr>
          <w:rFonts w:cstheme="minorHAnsi"/>
          <w:sz w:val="24"/>
          <w:szCs w:val="24"/>
        </w:rPr>
        <w:t>em</w:t>
      </w:r>
      <w:r w:rsidR="00F95662" w:rsidRPr="00606389">
        <w:rPr>
          <w:rFonts w:cstheme="minorHAnsi"/>
          <w:sz w:val="24"/>
          <w:szCs w:val="24"/>
        </w:rPr>
        <w:t xml:space="preserve"> do sukcesu wzrostu zgłaszalności.</w:t>
      </w:r>
      <w:r>
        <w:rPr>
          <w:rFonts w:cstheme="minorHAnsi"/>
          <w:sz w:val="24"/>
          <w:szCs w:val="24"/>
        </w:rPr>
        <w:t xml:space="preserve"> </w:t>
      </w:r>
      <w:r w:rsidR="007A7F89">
        <w:rPr>
          <w:rFonts w:cstheme="minorHAnsi"/>
          <w:sz w:val="24"/>
          <w:szCs w:val="24"/>
        </w:rPr>
        <w:t>Ważne</w:t>
      </w:r>
      <w:r w:rsidR="006647A0" w:rsidRPr="004E6AEF">
        <w:rPr>
          <w:rFonts w:cstheme="minorHAnsi"/>
          <w:sz w:val="24"/>
          <w:szCs w:val="24"/>
        </w:rPr>
        <w:t xml:space="preserve"> jest przejęcie i</w:t>
      </w:r>
      <w:r w:rsidR="00BA4456">
        <w:rPr>
          <w:rFonts w:cstheme="minorHAnsi"/>
          <w:sz w:val="24"/>
          <w:szCs w:val="24"/>
        </w:rPr>
        <w:t>nicjatywy przez świadczeniodawców</w:t>
      </w:r>
      <w:r w:rsidR="006647A0" w:rsidRPr="004E6AEF">
        <w:rPr>
          <w:rFonts w:cstheme="minorHAnsi"/>
          <w:sz w:val="24"/>
          <w:szCs w:val="24"/>
        </w:rPr>
        <w:t xml:space="preserve"> i zmiana </w:t>
      </w:r>
      <w:r w:rsidR="00BA4456">
        <w:rPr>
          <w:rFonts w:cstheme="minorHAnsi"/>
          <w:sz w:val="24"/>
          <w:szCs w:val="24"/>
        </w:rPr>
        <w:t xml:space="preserve">ich </w:t>
      </w:r>
      <w:r w:rsidR="006647A0" w:rsidRPr="004E6AEF">
        <w:rPr>
          <w:rFonts w:cstheme="minorHAnsi"/>
          <w:sz w:val="24"/>
          <w:szCs w:val="24"/>
        </w:rPr>
        <w:t>postawy na bardziej aktywną wobec</w:t>
      </w:r>
      <w:r w:rsidR="00BA4456">
        <w:rPr>
          <w:rFonts w:cstheme="minorHAnsi"/>
          <w:sz w:val="24"/>
          <w:szCs w:val="24"/>
        </w:rPr>
        <w:t xml:space="preserve"> pacjentów</w:t>
      </w:r>
      <w:r w:rsidR="006647A0" w:rsidRPr="004E6AEF">
        <w:rPr>
          <w:rFonts w:cstheme="minorHAnsi"/>
          <w:sz w:val="24"/>
          <w:szCs w:val="24"/>
        </w:rPr>
        <w:t xml:space="preserve">. </w:t>
      </w:r>
      <w:r w:rsidR="00BA4456">
        <w:rPr>
          <w:rFonts w:cstheme="minorHAnsi"/>
          <w:sz w:val="24"/>
          <w:szCs w:val="24"/>
        </w:rPr>
        <w:t xml:space="preserve">Winna ona uwzględniać </w:t>
      </w:r>
      <w:r w:rsidR="007A7F89">
        <w:rPr>
          <w:rFonts w:cstheme="minorHAnsi"/>
          <w:sz w:val="24"/>
          <w:szCs w:val="24"/>
        </w:rPr>
        <w:t>,</w:t>
      </w:r>
      <w:r w:rsidR="006647A0" w:rsidRPr="004E6AEF">
        <w:rPr>
          <w:rFonts w:cstheme="minorHAnsi"/>
          <w:sz w:val="24"/>
          <w:szCs w:val="24"/>
        </w:rPr>
        <w:t xml:space="preserve"> m.in. p</w:t>
      </w:r>
      <w:r>
        <w:rPr>
          <w:rFonts w:cstheme="minorHAnsi"/>
          <w:sz w:val="24"/>
          <w:szCs w:val="24"/>
        </w:rPr>
        <w:t>rzypominanie o kolejnym badaniu czy</w:t>
      </w:r>
      <w:r w:rsidR="006647A0" w:rsidRPr="004E6AEF">
        <w:rPr>
          <w:rFonts w:cstheme="minorHAnsi"/>
          <w:sz w:val="24"/>
          <w:szCs w:val="24"/>
        </w:rPr>
        <w:t xml:space="preserve"> konsekwencję w procesie umawiania wizyt</w:t>
      </w:r>
      <w:r>
        <w:rPr>
          <w:rFonts w:cstheme="minorHAnsi"/>
          <w:sz w:val="24"/>
          <w:szCs w:val="24"/>
        </w:rPr>
        <w:t>.</w:t>
      </w:r>
    </w:p>
    <w:p w14:paraId="4DDD4488" w14:textId="500124F9" w:rsidR="00ED76DC" w:rsidRPr="001B764F" w:rsidRDefault="00BA4456" w:rsidP="00BA4456">
      <w:pPr>
        <w:pStyle w:val="Akapitzlist"/>
        <w:spacing w:after="160"/>
        <w:rPr>
          <w:rFonts w:cstheme="minorHAnsi"/>
          <w:sz w:val="24"/>
          <w:szCs w:val="24"/>
        </w:rPr>
      </w:pPr>
      <w:r>
        <w:rPr>
          <w:rFonts w:cstheme="minorHAnsi"/>
          <w:sz w:val="24"/>
          <w:szCs w:val="24"/>
        </w:rPr>
        <w:t xml:space="preserve">Ogromną rolę odgrywa </w:t>
      </w:r>
      <w:r w:rsidR="007A7F89">
        <w:rPr>
          <w:rFonts w:cstheme="minorHAnsi"/>
          <w:sz w:val="24"/>
          <w:szCs w:val="24"/>
        </w:rPr>
        <w:t>edukacja</w:t>
      </w:r>
      <w:r w:rsidR="00FB686D" w:rsidRPr="007A7F89">
        <w:rPr>
          <w:rFonts w:cstheme="minorHAnsi"/>
          <w:sz w:val="24"/>
          <w:szCs w:val="24"/>
        </w:rPr>
        <w:t xml:space="preserve"> społeczeństwa. </w:t>
      </w:r>
      <w:r w:rsidR="007A7F89">
        <w:rPr>
          <w:rFonts w:cstheme="minorHAnsi"/>
          <w:sz w:val="24"/>
          <w:szCs w:val="24"/>
        </w:rPr>
        <w:t xml:space="preserve">Należy postawić </w:t>
      </w:r>
      <w:r w:rsidR="00FB686D" w:rsidRPr="007A7F89">
        <w:rPr>
          <w:rFonts w:cstheme="minorHAnsi"/>
          <w:sz w:val="24"/>
          <w:szCs w:val="24"/>
        </w:rPr>
        <w:t>na racjonalne przekonywanie</w:t>
      </w:r>
      <w:r w:rsidR="007A7F89">
        <w:rPr>
          <w:rFonts w:cstheme="minorHAnsi"/>
          <w:sz w:val="24"/>
          <w:szCs w:val="24"/>
        </w:rPr>
        <w:t xml:space="preserve"> pacjentów, a nie na nakazowość. Istotna jest też d</w:t>
      </w:r>
      <w:r w:rsidR="00FB686D" w:rsidRPr="00606389">
        <w:rPr>
          <w:rFonts w:cstheme="minorHAnsi"/>
          <w:sz w:val="24"/>
          <w:szCs w:val="24"/>
        </w:rPr>
        <w:t>bałość o ciągłość</w:t>
      </w:r>
      <w:r w:rsidR="006647A0" w:rsidRPr="00606389">
        <w:rPr>
          <w:rFonts w:cstheme="minorHAnsi"/>
          <w:sz w:val="24"/>
          <w:szCs w:val="24"/>
        </w:rPr>
        <w:t xml:space="preserve"> programów </w:t>
      </w:r>
      <w:r w:rsidR="006B3088">
        <w:rPr>
          <w:rFonts w:cstheme="minorHAnsi"/>
          <w:sz w:val="24"/>
          <w:szCs w:val="24"/>
        </w:rPr>
        <w:t>przesiewowych, które ponadto</w:t>
      </w:r>
      <w:r w:rsidR="006647A0" w:rsidRPr="00606389">
        <w:rPr>
          <w:rFonts w:cstheme="minorHAnsi"/>
          <w:sz w:val="24"/>
          <w:szCs w:val="24"/>
        </w:rPr>
        <w:t xml:space="preserve"> powinn</w:t>
      </w:r>
      <w:r w:rsidR="00FB686D" w:rsidRPr="00606389">
        <w:rPr>
          <w:rFonts w:cstheme="minorHAnsi"/>
          <w:sz w:val="24"/>
          <w:szCs w:val="24"/>
        </w:rPr>
        <w:t xml:space="preserve">y zapewniać  </w:t>
      </w:r>
      <w:r w:rsidR="004A1DA6">
        <w:rPr>
          <w:rFonts w:cstheme="minorHAnsi"/>
          <w:sz w:val="24"/>
          <w:szCs w:val="24"/>
        </w:rPr>
        <w:t xml:space="preserve">możliwość </w:t>
      </w:r>
      <w:r w:rsidR="00FB686D" w:rsidRPr="00606389">
        <w:rPr>
          <w:rFonts w:cstheme="minorHAnsi"/>
          <w:sz w:val="24"/>
          <w:szCs w:val="24"/>
        </w:rPr>
        <w:t>dalsze</w:t>
      </w:r>
      <w:r w:rsidR="004A1DA6">
        <w:rPr>
          <w:rFonts w:cstheme="minorHAnsi"/>
          <w:sz w:val="24"/>
          <w:szCs w:val="24"/>
        </w:rPr>
        <w:t>j interwencji</w:t>
      </w:r>
      <w:r w:rsidR="00FB686D" w:rsidRPr="00606389">
        <w:rPr>
          <w:rFonts w:cstheme="minorHAnsi"/>
          <w:sz w:val="24"/>
          <w:szCs w:val="24"/>
        </w:rPr>
        <w:t xml:space="preserve">. </w:t>
      </w:r>
      <w:r w:rsidR="006B3088">
        <w:rPr>
          <w:rFonts w:cstheme="minorHAnsi"/>
          <w:sz w:val="24"/>
          <w:szCs w:val="24"/>
        </w:rPr>
        <w:t>Dlatego konieczne jest opracowanie</w:t>
      </w:r>
      <w:r w:rsidR="00FB686D" w:rsidRPr="00606389">
        <w:rPr>
          <w:rFonts w:cstheme="minorHAnsi"/>
          <w:sz w:val="24"/>
          <w:szCs w:val="24"/>
        </w:rPr>
        <w:t xml:space="preserve"> długoterminowego planu </w:t>
      </w:r>
      <w:r>
        <w:rPr>
          <w:rFonts w:cstheme="minorHAnsi"/>
          <w:sz w:val="24"/>
          <w:szCs w:val="24"/>
        </w:rPr>
        <w:t>realizacji badań przesiewowych z ujęciem elem</w:t>
      </w:r>
      <w:r w:rsidR="000D5CFB">
        <w:rPr>
          <w:rFonts w:cstheme="minorHAnsi"/>
          <w:sz w:val="24"/>
          <w:szCs w:val="24"/>
        </w:rPr>
        <w:t>e</w:t>
      </w:r>
      <w:r>
        <w:rPr>
          <w:rFonts w:cstheme="minorHAnsi"/>
          <w:sz w:val="24"/>
          <w:szCs w:val="24"/>
        </w:rPr>
        <w:t>ntu</w:t>
      </w:r>
      <w:r w:rsidR="004A1DA6">
        <w:rPr>
          <w:rFonts w:cstheme="minorHAnsi"/>
          <w:sz w:val="24"/>
          <w:szCs w:val="24"/>
        </w:rPr>
        <w:t xml:space="preserve"> opieki nad zdiagnozowanymi pacjentami</w:t>
      </w:r>
      <w:r w:rsidR="00FB686D" w:rsidRPr="00606389">
        <w:rPr>
          <w:rFonts w:cstheme="minorHAnsi"/>
          <w:sz w:val="24"/>
          <w:szCs w:val="24"/>
        </w:rPr>
        <w:t>.</w:t>
      </w:r>
      <w:r w:rsidR="006B3088">
        <w:rPr>
          <w:rFonts w:cstheme="minorHAnsi"/>
          <w:sz w:val="24"/>
          <w:szCs w:val="24"/>
        </w:rPr>
        <w:t xml:space="preserve"> Kolejnym krokiem powinno być p</w:t>
      </w:r>
      <w:r w:rsidR="004A1DA6" w:rsidRPr="006B3088">
        <w:rPr>
          <w:rFonts w:cstheme="minorHAnsi"/>
          <w:sz w:val="24"/>
          <w:szCs w:val="24"/>
        </w:rPr>
        <w:t>ołączenie działań profilaktycznych i przesiewowych poprzez uwzględnienie danych nt. społecznych determinant</w:t>
      </w:r>
      <w:r w:rsidR="006647A0" w:rsidRPr="006B3088">
        <w:rPr>
          <w:rFonts w:cstheme="minorHAnsi"/>
          <w:sz w:val="24"/>
          <w:szCs w:val="24"/>
        </w:rPr>
        <w:t xml:space="preserve"> zdrowia (opracowanie wzorców </w:t>
      </w:r>
      <w:proofErr w:type="spellStart"/>
      <w:r w:rsidR="006647A0" w:rsidRPr="006B3088">
        <w:rPr>
          <w:rFonts w:cstheme="minorHAnsi"/>
          <w:sz w:val="24"/>
          <w:szCs w:val="24"/>
        </w:rPr>
        <w:t>zachowań</w:t>
      </w:r>
      <w:proofErr w:type="spellEnd"/>
      <w:r w:rsidR="006647A0" w:rsidRPr="006B3088">
        <w:rPr>
          <w:rFonts w:cstheme="minorHAnsi"/>
          <w:sz w:val="24"/>
          <w:szCs w:val="24"/>
        </w:rPr>
        <w:t xml:space="preserve"> wzrostu  ryzyka, personalizacja szczegółowych danych pozwalających na  predykcję ryzyka pacjentów,  profilaktyka celowana)</w:t>
      </w:r>
      <w:r w:rsidR="00FB686D" w:rsidRPr="006B3088">
        <w:rPr>
          <w:rFonts w:cstheme="minorHAnsi"/>
          <w:sz w:val="24"/>
          <w:szCs w:val="24"/>
        </w:rPr>
        <w:t>.</w:t>
      </w:r>
      <w:r w:rsidR="00ED76DC">
        <w:rPr>
          <w:rFonts w:cstheme="minorHAnsi"/>
          <w:sz w:val="24"/>
          <w:szCs w:val="24"/>
        </w:rPr>
        <w:t xml:space="preserve"> Dla k</w:t>
      </w:r>
      <w:r w:rsidR="00ED76DC" w:rsidRPr="00492F7A">
        <w:rPr>
          <w:rFonts w:cstheme="minorHAnsi"/>
          <w:sz w:val="24"/>
          <w:szCs w:val="24"/>
        </w:rPr>
        <w:t>on</w:t>
      </w:r>
      <w:r w:rsidR="00ED76DC">
        <w:rPr>
          <w:rFonts w:cstheme="minorHAnsi"/>
          <w:sz w:val="24"/>
          <w:szCs w:val="24"/>
        </w:rPr>
        <w:t>iecznych interwencji behawioralnych należy wykorzystać zespoły POZ, w tym odpowiednio</w:t>
      </w:r>
      <w:r w:rsidR="00ED76DC" w:rsidRPr="001B764F">
        <w:rPr>
          <w:rFonts w:cstheme="minorHAnsi"/>
          <w:sz w:val="24"/>
          <w:szCs w:val="24"/>
        </w:rPr>
        <w:t xml:space="preserve"> </w:t>
      </w:r>
      <w:r w:rsidR="00ED76DC">
        <w:rPr>
          <w:rFonts w:cstheme="minorHAnsi"/>
          <w:sz w:val="24"/>
          <w:szCs w:val="24"/>
        </w:rPr>
        <w:t>zmotywowane pielęgniarki.</w:t>
      </w:r>
    </w:p>
    <w:p w14:paraId="1EEF30C7" w14:textId="5A8F7DE3" w:rsidR="00ED76DC" w:rsidRDefault="00ED76DC" w:rsidP="00ED76DC">
      <w:pPr>
        <w:pStyle w:val="Akapitzlist"/>
        <w:rPr>
          <w:rFonts w:cstheme="minorHAnsi"/>
          <w:sz w:val="24"/>
          <w:szCs w:val="24"/>
        </w:rPr>
      </w:pPr>
    </w:p>
    <w:p w14:paraId="7D7E0319" w14:textId="59C4D776" w:rsidR="006647A0" w:rsidRPr="00F95662" w:rsidRDefault="00F95662" w:rsidP="00492F7A">
      <w:pPr>
        <w:rPr>
          <w:rFonts w:cstheme="minorHAnsi"/>
          <w:b/>
          <w:sz w:val="24"/>
          <w:szCs w:val="24"/>
        </w:rPr>
      </w:pPr>
      <w:r w:rsidRPr="00F95662">
        <w:rPr>
          <w:rFonts w:cstheme="minorHAnsi"/>
          <w:b/>
          <w:sz w:val="24"/>
          <w:szCs w:val="24"/>
        </w:rPr>
        <w:t>REKOMENDACJE</w:t>
      </w:r>
      <w:r w:rsidR="006647A0" w:rsidRPr="00F95662">
        <w:rPr>
          <w:rFonts w:cstheme="minorHAnsi"/>
          <w:b/>
          <w:sz w:val="24"/>
          <w:szCs w:val="24"/>
        </w:rPr>
        <w:t xml:space="preserve"> KOŃCOWE:</w:t>
      </w:r>
    </w:p>
    <w:p w14:paraId="6649CBF1" w14:textId="6AB31C1F" w:rsidR="006647A0" w:rsidRPr="00492F7A" w:rsidRDefault="00ED76DC" w:rsidP="00492F7A">
      <w:pPr>
        <w:pStyle w:val="Akapitzlist"/>
        <w:numPr>
          <w:ilvl w:val="0"/>
          <w:numId w:val="38"/>
        </w:numPr>
        <w:spacing w:after="160"/>
        <w:rPr>
          <w:rFonts w:cstheme="minorHAnsi"/>
          <w:sz w:val="24"/>
          <w:szCs w:val="24"/>
        </w:rPr>
      </w:pPr>
      <w:r>
        <w:rPr>
          <w:rFonts w:cstheme="minorHAnsi"/>
          <w:sz w:val="24"/>
          <w:szCs w:val="24"/>
        </w:rPr>
        <w:t>Poprawa</w:t>
      </w:r>
      <w:r w:rsidR="006647A0" w:rsidRPr="00492F7A">
        <w:rPr>
          <w:rFonts w:cstheme="minorHAnsi"/>
          <w:sz w:val="24"/>
          <w:szCs w:val="24"/>
        </w:rPr>
        <w:t xml:space="preserve"> efektywności działań systemu w r</w:t>
      </w:r>
      <w:r>
        <w:rPr>
          <w:rFonts w:cstheme="minorHAnsi"/>
          <w:sz w:val="24"/>
          <w:szCs w:val="24"/>
        </w:rPr>
        <w:t>amach już możliwych rozwiązań.</w:t>
      </w:r>
    </w:p>
    <w:p w14:paraId="3821D21D" w14:textId="159B6859" w:rsidR="006647A0" w:rsidRPr="0098738B" w:rsidRDefault="0098738B" w:rsidP="0098738B">
      <w:pPr>
        <w:pStyle w:val="Akapitzlist"/>
        <w:numPr>
          <w:ilvl w:val="0"/>
          <w:numId w:val="38"/>
        </w:numPr>
        <w:rPr>
          <w:rFonts w:cstheme="minorHAnsi"/>
          <w:sz w:val="24"/>
          <w:szCs w:val="24"/>
        </w:rPr>
      </w:pPr>
      <w:r w:rsidRPr="00ED76DC">
        <w:rPr>
          <w:rFonts w:cstheme="minorHAnsi"/>
          <w:sz w:val="24"/>
          <w:szCs w:val="24"/>
        </w:rPr>
        <w:t xml:space="preserve">Rozproszenie programów generuje chaos, dlatego wskazana jest integracja programów oraz ich uproszczenie oraz ograniczenie i ujednolicenie ich źródeł finansowania, wytycznych, a także </w:t>
      </w:r>
      <w:r>
        <w:rPr>
          <w:rFonts w:cstheme="minorHAnsi"/>
          <w:sz w:val="24"/>
          <w:szCs w:val="24"/>
        </w:rPr>
        <w:t>wymiana doświadczeń i dobrych praktyk celem ich s</w:t>
      </w:r>
      <w:r w:rsidR="006647A0" w:rsidRPr="0098738B">
        <w:rPr>
          <w:rFonts w:cstheme="minorHAnsi"/>
          <w:sz w:val="24"/>
          <w:szCs w:val="24"/>
        </w:rPr>
        <w:t>zybkie</w:t>
      </w:r>
      <w:r>
        <w:rPr>
          <w:rFonts w:cstheme="minorHAnsi"/>
          <w:sz w:val="24"/>
          <w:szCs w:val="24"/>
        </w:rPr>
        <w:t>go upowszechnienia</w:t>
      </w:r>
      <w:r w:rsidR="00EB54E1" w:rsidRPr="0098738B">
        <w:rPr>
          <w:rFonts w:cstheme="minorHAnsi"/>
          <w:sz w:val="24"/>
          <w:szCs w:val="24"/>
        </w:rPr>
        <w:t>.</w:t>
      </w:r>
    </w:p>
    <w:p w14:paraId="04867C27" w14:textId="12CC0670" w:rsidR="006647A0" w:rsidRPr="00492F7A" w:rsidRDefault="00C24197" w:rsidP="00492F7A">
      <w:pPr>
        <w:pStyle w:val="Akapitzlist"/>
        <w:numPr>
          <w:ilvl w:val="0"/>
          <w:numId w:val="38"/>
        </w:numPr>
        <w:spacing w:after="160"/>
        <w:rPr>
          <w:rFonts w:cstheme="minorHAnsi"/>
          <w:sz w:val="24"/>
          <w:szCs w:val="24"/>
        </w:rPr>
      </w:pPr>
      <w:r>
        <w:rPr>
          <w:rFonts w:cstheme="minorHAnsi"/>
          <w:sz w:val="24"/>
          <w:szCs w:val="24"/>
        </w:rPr>
        <w:t>P</w:t>
      </w:r>
      <w:r w:rsidR="006647A0" w:rsidRPr="00492F7A">
        <w:rPr>
          <w:rFonts w:cstheme="minorHAnsi"/>
          <w:sz w:val="24"/>
          <w:szCs w:val="24"/>
        </w:rPr>
        <w:t xml:space="preserve">owołanie jednego, krajowego centrum zarządzania (szczególnie </w:t>
      </w:r>
      <w:r>
        <w:rPr>
          <w:rFonts w:cstheme="minorHAnsi"/>
          <w:sz w:val="24"/>
          <w:szCs w:val="24"/>
        </w:rPr>
        <w:t xml:space="preserve">w aspektach </w:t>
      </w:r>
      <w:r w:rsidR="006647A0" w:rsidRPr="00492F7A">
        <w:rPr>
          <w:rFonts w:cstheme="minorHAnsi"/>
          <w:sz w:val="24"/>
          <w:szCs w:val="24"/>
        </w:rPr>
        <w:t>koordynacji i ewaluacji)  programami pod nadzorem centralnym</w:t>
      </w:r>
      <w:r w:rsidR="0098738B">
        <w:rPr>
          <w:rFonts w:cstheme="minorHAnsi"/>
          <w:sz w:val="24"/>
          <w:szCs w:val="24"/>
        </w:rPr>
        <w:t>,</w:t>
      </w:r>
      <w:r w:rsidR="006647A0" w:rsidRPr="00492F7A">
        <w:rPr>
          <w:rFonts w:cstheme="minorHAnsi"/>
          <w:sz w:val="24"/>
          <w:szCs w:val="24"/>
        </w:rPr>
        <w:t xml:space="preserve"> np. NIZP-PZH z integracją funkcjonalną, informatyczną i finansową programów oraz projektów</w:t>
      </w:r>
      <w:r w:rsidR="0098738B">
        <w:rPr>
          <w:rFonts w:cstheme="minorHAnsi"/>
          <w:sz w:val="24"/>
          <w:szCs w:val="24"/>
        </w:rPr>
        <w:t>.</w:t>
      </w:r>
    </w:p>
    <w:p w14:paraId="3655A0F0" w14:textId="0971F94D" w:rsidR="006647A0" w:rsidRPr="00492F7A" w:rsidRDefault="006647A0" w:rsidP="00492F7A">
      <w:pPr>
        <w:pStyle w:val="Akapitzlist"/>
        <w:numPr>
          <w:ilvl w:val="0"/>
          <w:numId w:val="38"/>
        </w:numPr>
        <w:spacing w:after="160"/>
        <w:rPr>
          <w:rFonts w:cstheme="minorHAnsi"/>
          <w:sz w:val="24"/>
          <w:szCs w:val="24"/>
        </w:rPr>
      </w:pPr>
      <w:r w:rsidRPr="00492F7A">
        <w:rPr>
          <w:rFonts w:cstheme="minorHAnsi"/>
          <w:sz w:val="24"/>
          <w:szCs w:val="24"/>
        </w:rPr>
        <w:t>Możliwość dostarczania różnych programów w skali lokalnej, przez różnych świadczeniodawców</w:t>
      </w:r>
      <w:r w:rsidR="0098738B">
        <w:rPr>
          <w:rFonts w:cstheme="minorHAnsi"/>
          <w:sz w:val="24"/>
          <w:szCs w:val="24"/>
        </w:rPr>
        <w:t>, co pozwala na</w:t>
      </w:r>
      <w:r w:rsidRPr="00492F7A">
        <w:rPr>
          <w:rFonts w:cstheme="minorHAnsi"/>
          <w:sz w:val="24"/>
          <w:szCs w:val="24"/>
        </w:rPr>
        <w:t xml:space="preserve"> maksymalne wykorzystanie potencjału struktury i procesów,</w:t>
      </w:r>
    </w:p>
    <w:p w14:paraId="72BCA433" w14:textId="037D1976" w:rsidR="00ED76DC" w:rsidRPr="0098738B" w:rsidRDefault="006647A0" w:rsidP="0098738B">
      <w:pPr>
        <w:pStyle w:val="Akapitzlist"/>
        <w:numPr>
          <w:ilvl w:val="0"/>
          <w:numId w:val="38"/>
        </w:numPr>
        <w:spacing w:after="160"/>
        <w:rPr>
          <w:rFonts w:cstheme="minorHAnsi"/>
          <w:sz w:val="24"/>
          <w:szCs w:val="24"/>
        </w:rPr>
      </w:pPr>
      <w:r w:rsidRPr="00492F7A">
        <w:rPr>
          <w:rFonts w:cstheme="minorHAnsi"/>
          <w:sz w:val="24"/>
          <w:szCs w:val="24"/>
        </w:rPr>
        <w:t>Obligatoryjność umów profilaktycznych d</w:t>
      </w:r>
      <w:r w:rsidR="0098738B">
        <w:rPr>
          <w:rFonts w:cstheme="minorHAnsi"/>
          <w:sz w:val="24"/>
          <w:szCs w:val="24"/>
        </w:rPr>
        <w:t>la wszystkich świadczeniodawców, w tym za</w:t>
      </w:r>
      <w:r w:rsidR="00ED76DC" w:rsidRPr="0098738B">
        <w:rPr>
          <w:rFonts w:cstheme="minorHAnsi"/>
          <w:sz w:val="24"/>
          <w:szCs w:val="24"/>
        </w:rPr>
        <w:t>angażowanie w profilaktykę lekarzy rodzinnych w celu osiągnięcia min. 50%-owego uczestnictwa w programach profilaktycznych, z możliwością przekazania części obowiązków pielęgniarkom/położnym.</w:t>
      </w:r>
    </w:p>
    <w:p w14:paraId="7733B8DD" w14:textId="6CA72674" w:rsidR="006647A0" w:rsidRPr="00ED76DC" w:rsidRDefault="00ED76DC" w:rsidP="00ED76DC">
      <w:pPr>
        <w:pStyle w:val="Akapitzlist"/>
        <w:numPr>
          <w:ilvl w:val="0"/>
          <w:numId w:val="38"/>
        </w:numPr>
        <w:spacing w:after="160"/>
        <w:rPr>
          <w:rFonts w:cstheme="minorHAnsi"/>
          <w:sz w:val="24"/>
          <w:szCs w:val="24"/>
        </w:rPr>
      </w:pPr>
      <w:r w:rsidRPr="00492F7A">
        <w:rPr>
          <w:rFonts w:cstheme="minorHAnsi"/>
          <w:sz w:val="24"/>
          <w:szCs w:val="24"/>
        </w:rPr>
        <w:t>Poprawa wyceny świadczeń</w:t>
      </w:r>
      <w:r>
        <w:rPr>
          <w:rFonts w:cstheme="minorHAnsi"/>
          <w:sz w:val="24"/>
          <w:szCs w:val="24"/>
        </w:rPr>
        <w:t xml:space="preserve"> przesiewowych</w:t>
      </w:r>
      <w:r w:rsidR="0098738B">
        <w:rPr>
          <w:rFonts w:cstheme="minorHAnsi"/>
          <w:sz w:val="24"/>
          <w:szCs w:val="24"/>
        </w:rPr>
        <w:t xml:space="preserve"> i zwiększenie przeznaczonego na nie budżetu ze względu na ich efektywność wpływu na zdrowie populacji.</w:t>
      </w:r>
    </w:p>
    <w:p w14:paraId="0EA4ED29" w14:textId="77777777" w:rsidR="006647A0" w:rsidRPr="00492F7A" w:rsidRDefault="006647A0" w:rsidP="00492F7A">
      <w:pPr>
        <w:rPr>
          <w:rFonts w:cstheme="minorHAnsi"/>
          <w:sz w:val="24"/>
          <w:szCs w:val="24"/>
        </w:rPr>
      </w:pPr>
    </w:p>
    <w:p w14:paraId="682AFA82" w14:textId="77777777" w:rsidR="006647A0" w:rsidRPr="00492F7A" w:rsidRDefault="006647A0" w:rsidP="00492F7A">
      <w:pPr>
        <w:rPr>
          <w:rFonts w:cstheme="minorHAnsi"/>
          <w:sz w:val="24"/>
          <w:szCs w:val="24"/>
        </w:rPr>
      </w:pPr>
    </w:p>
    <w:p w14:paraId="53D94B68" w14:textId="77777777" w:rsidR="006647A0" w:rsidRPr="00492F7A" w:rsidRDefault="006647A0" w:rsidP="00492F7A">
      <w:pPr>
        <w:rPr>
          <w:rFonts w:cstheme="minorHAnsi"/>
          <w:sz w:val="24"/>
          <w:szCs w:val="24"/>
        </w:rPr>
      </w:pPr>
    </w:p>
    <w:p w14:paraId="522EAA20" w14:textId="77777777" w:rsidR="006647A0" w:rsidRPr="00492F7A" w:rsidRDefault="006647A0" w:rsidP="00492F7A">
      <w:pPr>
        <w:rPr>
          <w:rFonts w:cstheme="minorHAnsi"/>
          <w:sz w:val="24"/>
          <w:szCs w:val="24"/>
        </w:rPr>
      </w:pPr>
    </w:p>
    <w:p w14:paraId="63416331" w14:textId="77777777" w:rsidR="006647A0" w:rsidRPr="00492F7A" w:rsidRDefault="006647A0" w:rsidP="00492F7A">
      <w:pPr>
        <w:rPr>
          <w:rFonts w:cstheme="minorHAnsi"/>
          <w:sz w:val="24"/>
          <w:szCs w:val="24"/>
        </w:rPr>
      </w:pPr>
    </w:p>
    <w:p w14:paraId="5E873946" w14:textId="77777777" w:rsidR="006647A0" w:rsidRPr="00492F7A" w:rsidRDefault="006647A0" w:rsidP="00492F7A">
      <w:pPr>
        <w:rPr>
          <w:rFonts w:cstheme="minorHAnsi"/>
          <w:sz w:val="24"/>
          <w:szCs w:val="24"/>
        </w:rPr>
      </w:pPr>
    </w:p>
    <w:p w14:paraId="260D0531" w14:textId="77777777" w:rsidR="00702334" w:rsidRPr="00492F7A" w:rsidRDefault="00702334" w:rsidP="00492F7A">
      <w:pPr>
        <w:jc w:val="both"/>
        <w:rPr>
          <w:rFonts w:cstheme="minorHAnsi"/>
          <w:b/>
          <w:sz w:val="24"/>
          <w:szCs w:val="24"/>
        </w:rPr>
      </w:pPr>
    </w:p>
    <w:p w14:paraId="717F29A8" w14:textId="77777777" w:rsidR="005443D7" w:rsidRPr="00492F7A" w:rsidRDefault="005443D7" w:rsidP="00492F7A">
      <w:pPr>
        <w:jc w:val="both"/>
        <w:rPr>
          <w:rFonts w:cstheme="minorHAnsi"/>
          <w:b/>
          <w:sz w:val="24"/>
          <w:szCs w:val="24"/>
        </w:rPr>
      </w:pPr>
    </w:p>
    <w:p w14:paraId="366DFED4" w14:textId="77777777" w:rsidR="005443D7" w:rsidRPr="00492F7A" w:rsidRDefault="005443D7" w:rsidP="00492F7A">
      <w:pPr>
        <w:jc w:val="both"/>
        <w:rPr>
          <w:rFonts w:cstheme="minorHAnsi"/>
          <w:b/>
          <w:sz w:val="24"/>
          <w:szCs w:val="24"/>
        </w:rPr>
      </w:pPr>
    </w:p>
    <w:p w14:paraId="0D80BEB0" w14:textId="77777777" w:rsidR="00492F7A" w:rsidRPr="00492F7A" w:rsidRDefault="00492F7A">
      <w:pPr>
        <w:jc w:val="both"/>
        <w:rPr>
          <w:rFonts w:cstheme="minorHAnsi"/>
          <w:b/>
          <w:sz w:val="24"/>
          <w:szCs w:val="24"/>
        </w:rPr>
      </w:pPr>
    </w:p>
    <w:sectPr w:rsidR="00492F7A" w:rsidRPr="00492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4ECC3" w14:textId="77777777" w:rsidR="00B661F7" w:rsidRDefault="00B661F7" w:rsidP="00094F15">
      <w:pPr>
        <w:spacing w:after="0" w:line="240" w:lineRule="auto"/>
      </w:pPr>
      <w:r>
        <w:separator/>
      </w:r>
    </w:p>
  </w:endnote>
  <w:endnote w:type="continuationSeparator" w:id="0">
    <w:p w14:paraId="037E9FE0" w14:textId="77777777" w:rsidR="00B661F7" w:rsidRDefault="00B661F7" w:rsidP="0009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E298C" w14:textId="77777777" w:rsidR="00B661F7" w:rsidRDefault="00B661F7" w:rsidP="00094F15">
      <w:pPr>
        <w:spacing w:after="0" w:line="240" w:lineRule="auto"/>
      </w:pPr>
      <w:r>
        <w:separator/>
      </w:r>
    </w:p>
  </w:footnote>
  <w:footnote w:type="continuationSeparator" w:id="0">
    <w:p w14:paraId="2CDF32CA" w14:textId="77777777" w:rsidR="00B661F7" w:rsidRDefault="00B661F7" w:rsidP="00094F15">
      <w:pPr>
        <w:spacing w:after="0" w:line="240" w:lineRule="auto"/>
      </w:pPr>
      <w:r>
        <w:continuationSeparator/>
      </w:r>
    </w:p>
  </w:footnote>
  <w:footnote w:id="1">
    <w:p w14:paraId="288F5ECC" w14:textId="77777777" w:rsidR="00522CCE" w:rsidRPr="005A75FD" w:rsidRDefault="00522CCE" w:rsidP="005A75FD">
      <w:pPr>
        <w:spacing w:before="120" w:line="240" w:lineRule="auto"/>
        <w:jc w:val="both"/>
        <w:rPr>
          <w:rFonts w:ascii="Tahoma" w:eastAsia="Times New Roman" w:hAnsi="Tahoma" w:cs="Tahoma"/>
          <w:sz w:val="20"/>
          <w:szCs w:val="20"/>
        </w:rPr>
      </w:pPr>
      <w:r>
        <w:rPr>
          <w:rStyle w:val="Odwoanieprzypisudolnego"/>
        </w:rPr>
        <w:footnoteRef/>
      </w:r>
      <w:r>
        <w:t xml:space="preserve"> </w:t>
      </w:r>
      <w:r w:rsidRPr="005A75FD">
        <w:rPr>
          <w:rFonts w:ascii="Tahoma" w:eastAsia="Times New Roman" w:hAnsi="Tahoma" w:cs="Tahoma"/>
          <w:sz w:val="20"/>
          <w:szCs w:val="20"/>
        </w:rPr>
        <w:t xml:space="preserve">Polska: 7.24% zdarzeń niepożądanych (2015): 47.37% zdarzeń możliwych do uniknięcia (CMJ, Projekt BSBP </w:t>
      </w:r>
      <w:hyperlink r:id="rId1" w:history="1">
        <w:r w:rsidRPr="005A75FD">
          <w:rPr>
            <w:rStyle w:val="Hipercze"/>
            <w:rFonts w:ascii="Tahoma" w:eastAsia="Times New Roman" w:hAnsi="Tahoma" w:cs="Tahoma"/>
            <w:sz w:val="20"/>
            <w:szCs w:val="20"/>
          </w:rPr>
          <w:t>www.cmj.org.pl</w:t>
        </w:r>
      </w:hyperlink>
      <w:r w:rsidRPr="005A75FD">
        <w:rPr>
          <w:rFonts w:ascii="Tahoma" w:eastAsia="Times New Roman" w:hAnsi="Tahoma" w:cs="Tahoma"/>
          <w:sz w:val="20"/>
          <w:szCs w:val="20"/>
        </w:rPr>
        <w:t>)</w:t>
      </w:r>
    </w:p>
    <w:p w14:paraId="1D61111A" w14:textId="547BB303" w:rsidR="00522CCE" w:rsidRDefault="00522CCE">
      <w:pPr>
        <w:pStyle w:val="Tekstprzypisudolnego"/>
      </w:pPr>
    </w:p>
  </w:footnote>
  <w:footnote w:id="2">
    <w:p w14:paraId="28FAA1B1" w14:textId="007FE51B" w:rsidR="005A75FD" w:rsidRDefault="005A75FD">
      <w:pPr>
        <w:pStyle w:val="Tekstprzypisudolnego"/>
      </w:pPr>
      <w:r>
        <w:rPr>
          <w:rStyle w:val="Odwoanieprzypisudolnego"/>
        </w:rPr>
        <w:footnoteRef/>
      </w:r>
      <w:r w:rsidRPr="00642FA5">
        <w:rPr>
          <w:lang w:val="en-GB"/>
        </w:rPr>
        <w:t xml:space="preserve"> </w:t>
      </w:r>
      <w:r w:rsidRPr="00642FA5">
        <w:rPr>
          <w:rFonts w:ascii="Tahoma" w:hAnsi="Tahoma" w:cs="Tahoma"/>
          <w:lang w:val="en-GB"/>
        </w:rPr>
        <w:t xml:space="preserve">Slawomirski L, Auraaen A, Klazinga N. The economics of patient safety: Strengthening a value-based approach to reducing patient harm at national level. </w:t>
      </w:r>
      <w:r w:rsidRPr="002B2C22">
        <w:rPr>
          <w:rFonts w:ascii="Tahoma" w:hAnsi="Tahoma" w:cs="Tahoma"/>
        </w:rPr>
        <w:t>Paris: OECD; 2017</w:t>
      </w:r>
    </w:p>
  </w:footnote>
  <w:footnote w:id="3">
    <w:p w14:paraId="12DE5D5C" w14:textId="77777777" w:rsidR="00EC1FAC" w:rsidRDefault="00EC1FAC" w:rsidP="00EC1FAC">
      <w:pPr>
        <w:pStyle w:val="Tekstprzypisudolnego"/>
        <w:jc w:val="both"/>
      </w:pPr>
      <w:r>
        <w:rPr>
          <w:rStyle w:val="Odwoanieprzypisudolnego"/>
        </w:rPr>
        <w:footnoteRef/>
      </w:r>
      <w:r>
        <w:t xml:space="preserve"> </w:t>
      </w:r>
      <w:r w:rsidRPr="00A001A0">
        <w:rPr>
          <w:rFonts w:cs="Arial"/>
          <w:szCs w:val="22"/>
        </w:rPr>
        <w:t xml:space="preserve">dotyczących: organizacyjnych i funkcjonalnych aspektów zdrowia publicznego (R. </w:t>
      </w:r>
      <w:proofErr w:type="spellStart"/>
      <w:r w:rsidRPr="00A001A0">
        <w:rPr>
          <w:rFonts w:cs="Arial"/>
          <w:szCs w:val="22"/>
        </w:rPr>
        <w:t>Niżankowski</w:t>
      </w:r>
      <w:proofErr w:type="spellEnd"/>
      <w:r w:rsidRPr="00A001A0">
        <w:rPr>
          <w:rFonts w:cs="Arial"/>
          <w:szCs w:val="22"/>
        </w:rPr>
        <w:t xml:space="preserve">, A. Wojtczak), prawnych aspektów zdrowia publicznego (H. Izdebski, M. </w:t>
      </w:r>
      <w:proofErr w:type="spellStart"/>
      <w:r w:rsidRPr="00A001A0">
        <w:rPr>
          <w:rFonts w:cs="Arial"/>
          <w:szCs w:val="22"/>
        </w:rPr>
        <w:t>Dercz</w:t>
      </w:r>
      <w:proofErr w:type="spellEnd"/>
      <w:r w:rsidRPr="00A001A0">
        <w:rPr>
          <w:rFonts w:cs="Arial"/>
          <w:szCs w:val="22"/>
        </w:rPr>
        <w:t>), raportu „Diagnoza istniejącej organizacji i funkcjonowania systemu zdrowia publicznego w Polsce – rzeczywisty sposób działania systemu (red. D. Cianciara, K. Lewtak, M. Gajewska, M. Piotrowicz, E. Urban) sporządzonych w 2016 i 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7E5F"/>
    <w:multiLevelType w:val="hybridMultilevel"/>
    <w:tmpl w:val="A3D468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26FD4"/>
    <w:multiLevelType w:val="hybridMultilevel"/>
    <w:tmpl w:val="C8084D74"/>
    <w:lvl w:ilvl="0" w:tplc="04150001">
      <w:start w:val="1"/>
      <w:numFmt w:val="bullet"/>
      <w:lvlText w:val=""/>
      <w:lvlJc w:val="left"/>
      <w:pPr>
        <w:ind w:left="1440" w:hanging="360"/>
      </w:pPr>
      <w:rPr>
        <w:rFonts w:ascii="Symbol" w:hAnsi="Symbol"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1829F0"/>
    <w:multiLevelType w:val="hybridMultilevel"/>
    <w:tmpl w:val="AD1C7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8615A"/>
    <w:multiLevelType w:val="hybridMultilevel"/>
    <w:tmpl w:val="2B188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61E7B"/>
    <w:multiLevelType w:val="hybridMultilevel"/>
    <w:tmpl w:val="6CC67832"/>
    <w:lvl w:ilvl="0" w:tplc="34784940">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DD3D90"/>
    <w:multiLevelType w:val="hybridMultilevel"/>
    <w:tmpl w:val="E89E7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C85BAB"/>
    <w:multiLevelType w:val="hybridMultilevel"/>
    <w:tmpl w:val="E16ED37C"/>
    <w:lvl w:ilvl="0" w:tplc="DE224E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11135"/>
    <w:multiLevelType w:val="hybridMultilevel"/>
    <w:tmpl w:val="7FC8874C"/>
    <w:lvl w:ilvl="0" w:tplc="34784940">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74C6C8D"/>
    <w:multiLevelType w:val="hybridMultilevel"/>
    <w:tmpl w:val="B3B82C42"/>
    <w:lvl w:ilvl="0" w:tplc="8312CCFE">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120358"/>
    <w:multiLevelType w:val="hybridMultilevel"/>
    <w:tmpl w:val="DB5011D4"/>
    <w:lvl w:ilvl="0" w:tplc="6120939A">
      <w:start w:val="1"/>
      <w:numFmt w:val="upperRoman"/>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826F3"/>
    <w:multiLevelType w:val="hybridMultilevel"/>
    <w:tmpl w:val="E4866F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511FD"/>
    <w:multiLevelType w:val="hybridMultilevel"/>
    <w:tmpl w:val="8362E9DC"/>
    <w:lvl w:ilvl="0" w:tplc="04150001">
      <w:start w:val="1"/>
      <w:numFmt w:val="bullet"/>
      <w:lvlText w:val=""/>
      <w:lvlJc w:val="left"/>
      <w:pPr>
        <w:ind w:left="1424" w:hanging="360"/>
      </w:pPr>
      <w:rPr>
        <w:rFonts w:ascii="Symbol" w:hAnsi="Symbol"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12" w15:restartNumberingAfterBreak="0">
    <w:nsid w:val="28DF33D3"/>
    <w:multiLevelType w:val="hybridMultilevel"/>
    <w:tmpl w:val="DB96A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5F4F98"/>
    <w:multiLevelType w:val="hybridMultilevel"/>
    <w:tmpl w:val="6F5C8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886D7F"/>
    <w:multiLevelType w:val="hybridMultilevel"/>
    <w:tmpl w:val="01D6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1141D"/>
    <w:multiLevelType w:val="hybridMultilevel"/>
    <w:tmpl w:val="BCDCD0CE"/>
    <w:lvl w:ilvl="0" w:tplc="34784940">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F574864"/>
    <w:multiLevelType w:val="hybridMultilevel"/>
    <w:tmpl w:val="4238F29E"/>
    <w:lvl w:ilvl="0" w:tplc="F238E0EE">
      <w:start w:val="1"/>
      <w:numFmt w:val="upp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51425F"/>
    <w:multiLevelType w:val="hybridMultilevel"/>
    <w:tmpl w:val="1BF880F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613728"/>
    <w:multiLevelType w:val="hybridMultilevel"/>
    <w:tmpl w:val="9572B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52967"/>
    <w:multiLevelType w:val="hybridMultilevel"/>
    <w:tmpl w:val="15B89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1220C0"/>
    <w:multiLevelType w:val="hybridMultilevel"/>
    <w:tmpl w:val="1FE2AD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5AB15EF"/>
    <w:multiLevelType w:val="hybridMultilevel"/>
    <w:tmpl w:val="D86E781A"/>
    <w:lvl w:ilvl="0" w:tplc="D10A018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7D082C"/>
    <w:multiLevelType w:val="hybridMultilevel"/>
    <w:tmpl w:val="562EB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397A2C"/>
    <w:multiLevelType w:val="hybridMultilevel"/>
    <w:tmpl w:val="8A9286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2A202B2"/>
    <w:multiLevelType w:val="hybridMultilevel"/>
    <w:tmpl w:val="C2724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A60D4C"/>
    <w:multiLevelType w:val="hybridMultilevel"/>
    <w:tmpl w:val="FC92F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1F1C6A"/>
    <w:multiLevelType w:val="hybridMultilevel"/>
    <w:tmpl w:val="70422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404461"/>
    <w:multiLevelType w:val="hybridMultilevel"/>
    <w:tmpl w:val="ECB6C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2D2D9D"/>
    <w:multiLevelType w:val="hybridMultilevel"/>
    <w:tmpl w:val="5168760C"/>
    <w:lvl w:ilvl="0" w:tplc="34784940">
      <w:start w:val="1"/>
      <w:numFmt w:val="decimal"/>
      <w:lvlText w:val="%1."/>
      <w:lvlJc w:val="left"/>
      <w:pPr>
        <w:ind w:left="108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F646B1"/>
    <w:multiLevelType w:val="hybridMultilevel"/>
    <w:tmpl w:val="5594964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4047696"/>
    <w:multiLevelType w:val="hybridMultilevel"/>
    <w:tmpl w:val="6288854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4A62AD4"/>
    <w:multiLevelType w:val="hybridMultilevel"/>
    <w:tmpl w:val="9A30B5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7C082C"/>
    <w:multiLevelType w:val="hybridMultilevel"/>
    <w:tmpl w:val="84A0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6A20E5"/>
    <w:multiLevelType w:val="hybridMultilevel"/>
    <w:tmpl w:val="93DCED36"/>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D402EB"/>
    <w:multiLevelType w:val="hybridMultilevel"/>
    <w:tmpl w:val="6C021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04D0C"/>
    <w:multiLevelType w:val="hybridMultilevel"/>
    <w:tmpl w:val="F5BA7AC8"/>
    <w:lvl w:ilvl="0" w:tplc="04150001">
      <w:start w:val="1"/>
      <w:numFmt w:val="bullet"/>
      <w:lvlText w:val=""/>
      <w:lvlJc w:val="left"/>
      <w:pPr>
        <w:ind w:left="2587" w:hanging="360"/>
      </w:pPr>
      <w:rPr>
        <w:rFonts w:ascii="Symbol" w:hAnsi="Symbol" w:hint="default"/>
      </w:rPr>
    </w:lvl>
    <w:lvl w:ilvl="1" w:tplc="04150003" w:tentative="1">
      <w:start w:val="1"/>
      <w:numFmt w:val="bullet"/>
      <w:lvlText w:val="o"/>
      <w:lvlJc w:val="left"/>
      <w:pPr>
        <w:ind w:left="3307" w:hanging="360"/>
      </w:pPr>
      <w:rPr>
        <w:rFonts w:ascii="Courier New" w:hAnsi="Courier New" w:cs="Courier New" w:hint="default"/>
      </w:rPr>
    </w:lvl>
    <w:lvl w:ilvl="2" w:tplc="04150005" w:tentative="1">
      <w:start w:val="1"/>
      <w:numFmt w:val="bullet"/>
      <w:lvlText w:val=""/>
      <w:lvlJc w:val="left"/>
      <w:pPr>
        <w:ind w:left="4027" w:hanging="360"/>
      </w:pPr>
      <w:rPr>
        <w:rFonts w:ascii="Wingdings" w:hAnsi="Wingdings" w:hint="default"/>
      </w:rPr>
    </w:lvl>
    <w:lvl w:ilvl="3" w:tplc="04150001" w:tentative="1">
      <w:start w:val="1"/>
      <w:numFmt w:val="bullet"/>
      <w:lvlText w:val=""/>
      <w:lvlJc w:val="left"/>
      <w:pPr>
        <w:ind w:left="4747" w:hanging="360"/>
      </w:pPr>
      <w:rPr>
        <w:rFonts w:ascii="Symbol" w:hAnsi="Symbol" w:hint="default"/>
      </w:rPr>
    </w:lvl>
    <w:lvl w:ilvl="4" w:tplc="04150003" w:tentative="1">
      <w:start w:val="1"/>
      <w:numFmt w:val="bullet"/>
      <w:lvlText w:val="o"/>
      <w:lvlJc w:val="left"/>
      <w:pPr>
        <w:ind w:left="5467" w:hanging="360"/>
      </w:pPr>
      <w:rPr>
        <w:rFonts w:ascii="Courier New" w:hAnsi="Courier New" w:cs="Courier New" w:hint="default"/>
      </w:rPr>
    </w:lvl>
    <w:lvl w:ilvl="5" w:tplc="04150005" w:tentative="1">
      <w:start w:val="1"/>
      <w:numFmt w:val="bullet"/>
      <w:lvlText w:val=""/>
      <w:lvlJc w:val="left"/>
      <w:pPr>
        <w:ind w:left="6187" w:hanging="360"/>
      </w:pPr>
      <w:rPr>
        <w:rFonts w:ascii="Wingdings" w:hAnsi="Wingdings" w:hint="default"/>
      </w:rPr>
    </w:lvl>
    <w:lvl w:ilvl="6" w:tplc="04150001" w:tentative="1">
      <w:start w:val="1"/>
      <w:numFmt w:val="bullet"/>
      <w:lvlText w:val=""/>
      <w:lvlJc w:val="left"/>
      <w:pPr>
        <w:ind w:left="6907" w:hanging="360"/>
      </w:pPr>
      <w:rPr>
        <w:rFonts w:ascii="Symbol" w:hAnsi="Symbol" w:hint="default"/>
      </w:rPr>
    </w:lvl>
    <w:lvl w:ilvl="7" w:tplc="04150003" w:tentative="1">
      <w:start w:val="1"/>
      <w:numFmt w:val="bullet"/>
      <w:lvlText w:val="o"/>
      <w:lvlJc w:val="left"/>
      <w:pPr>
        <w:ind w:left="7627" w:hanging="360"/>
      </w:pPr>
      <w:rPr>
        <w:rFonts w:ascii="Courier New" w:hAnsi="Courier New" w:cs="Courier New" w:hint="default"/>
      </w:rPr>
    </w:lvl>
    <w:lvl w:ilvl="8" w:tplc="04150005" w:tentative="1">
      <w:start w:val="1"/>
      <w:numFmt w:val="bullet"/>
      <w:lvlText w:val=""/>
      <w:lvlJc w:val="left"/>
      <w:pPr>
        <w:ind w:left="8347" w:hanging="360"/>
      </w:pPr>
      <w:rPr>
        <w:rFonts w:ascii="Wingdings" w:hAnsi="Wingdings" w:hint="default"/>
      </w:rPr>
    </w:lvl>
  </w:abstractNum>
  <w:abstractNum w:abstractNumId="36" w15:restartNumberingAfterBreak="0">
    <w:nsid w:val="5B175771"/>
    <w:multiLevelType w:val="hybridMultilevel"/>
    <w:tmpl w:val="842C02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5F6C73A5"/>
    <w:multiLevelType w:val="hybridMultilevel"/>
    <w:tmpl w:val="B75CBB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5605950"/>
    <w:multiLevelType w:val="hybridMultilevel"/>
    <w:tmpl w:val="4C885D34"/>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675E41EC"/>
    <w:multiLevelType w:val="hybridMultilevel"/>
    <w:tmpl w:val="0CBE2F42"/>
    <w:lvl w:ilvl="0" w:tplc="8304A5F0">
      <w:start w:val="1"/>
      <w:numFmt w:val="decimal"/>
      <w:lvlText w:val="%1."/>
      <w:lvlJc w:val="left"/>
      <w:pPr>
        <w:ind w:left="720" w:hanging="360"/>
      </w:pPr>
      <w:rPr>
        <w:rFonts w:ascii="Arial" w:hAnsi="Arial" w:cs="Arial" w:hint="default"/>
        <w:b/>
        <w:color w:val="40404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DA33E2"/>
    <w:multiLevelType w:val="hybridMultilevel"/>
    <w:tmpl w:val="6B7E38F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9DB54B5"/>
    <w:multiLevelType w:val="hybridMultilevel"/>
    <w:tmpl w:val="E5FECB3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9E24793"/>
    <w:multiLevelType w:val="hybridMultilevel"/>
    <w:tmpl w:val="1908A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FC3144"/>
    <w:multiLevelType w:val="hybridMultilevel"/>
    <w:tmpl w:val="C414CC16"/>
    <w:lvl w:ilvl="0" w:tplc="F238E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EE64C9"/>
    <w:multiLevelType w:val="hybridMultilevel"/>
    <w:tmpl w:val="6FB840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7B720DA7"/>
    <w:multiLevelType w:val="hybridMultilevel"/>
    <w:tmpl w:val="0996032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7D21271E"/>
    <w:multiLevelType w:val="hybridMultilevel"/>
    <w:tmpl w:val="BCEE9A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6"/>
  </w:num>
  <w:num w:numId="6">
    <w:abstractNumId w:val="23"/>
  </w:num>
  <w:num w:numId="7">
    <w:abstractNumId w:val="37"/>
  </w:num>
  <w:num w:numId="8">
    <w:abstractNumId w:val="38"/>
  </w:num>
  <w:num w:numId="9">
    <w:abstractNumId w:val="35"/>
  </w:num>
  <w:num w:numId="10">
    <w:abstractNumId w:val="19"/>
  </w:num>
  <w:num w:numId="11">
    <w:abstractNumId w:val="17"/>
  </w:num>
  <w:num w:numId="12">
    <w:abstractNumId w:val="18"/>
  </w:num>
  <w:num w:numId="13">
    <w:abstractNumId w:val="36"/>
  </w:num>
  <w:num w:numId="14">
    <w:abstractNumId w:val="45"/>
  </w:num>
  <w:num w:numId="15">
    <w:abstractNumId w:val="3"/>
  </w:num>
  <w:num w:numId="16">
    <w:abstractNumId w:val="21"/>
  </w:num>
  <w:num w:numId="17">
    <w:abstractNumId w:val="43"/>
  </w:num>
  <w:num w:numId="18">
    <w:abstractNumId w:val="2"/>
  </w:num>
  <w:num w:numId="19">
    <w:abstractNumId w:val="31"/>
  </w:num>
  <w:num w:numId="20">
    <w:abstractNumId w:val="33"/>
  </w:num>
  <w:num w:numId="21">
    <w:abstractNumId w:val="22"/>
  </w:num>
  <w:num w:numId="22">
    <w:abstractNumId w:val="13"/>
  </w:num>
  <w:num w:numId="23">
    <w:abstractNumId w:val="16"/>
  </w:num>
  <w:num w:numId="24">
    <w:abstractNumId w:val="39"/>
  </w:num>
  <w:num w:numId="25">
    <w:abstractNumId w:val="40"/>
  </w:num>
  <w:num w:numId="26">
    <w:abstractNumId w:val="29"/>
  </w:num>
  <w:num w:numId="27">
    <w:abstractNumId w:val="30"/>
  </w:num>
  <w:num w:numId="28">
    <w:abstractNumId w:val="41"/>
  </w:num>
  <w:num w:numId="29">
    <w:abstractNumId w:val="46"/>
  </w:num>
  <w:num w:numId="30">
    <w:abstractNumId w:val="20"/>
  </w:num>
  <w:num w:numId="31">
    <w:abstractNumId w:val="34"/>
  </w:num>
  <w:num w:numId="32">
    <w:abstractNumId w:val="26"/>
  </w:num>
  <w:num w:numId="33">
    <w:abstractNumId w:val="11"/>
  </w:num>
  <w:num w:numId="34">
    <w:abstractNumId w:val="32"/>
  </w:num>
  <w:num w:numId="35">
    <w:abstractNumId w:val="5"/>
  </w:num>
  <w:num w:numId="36">
    <w:abstractNumId w:val="24"/>
  </w:num>
  <w:num w:numId="37">
    <w:abstractNumId w:val="42"/>
  </w:num>
  <w:num w:numId="38">
    <w:abstractNumId w:val="10"/>
  </w:num>
  <w:num w:numId="39">
    <w:abstractNumId w:val="0"/>
  </w:num>
  <w:num w:numId="40">
    <w:abstractNumId w:val="8"/>
  </w:num>
  <w:num w:numId="41">
    <w:abstractNumId w:val="27"/>
  </w:num>
  <w:num w:numId="42">
    <w:abstractNumId w:val="4"/>
  </w:num>
  <w:num w:numId="43">
    <w:abstractNumId w:val="7"/>
  </w:num>
  <w:num w:numId="44">
    <w:abstractNumId w:val="15"/>
  </w:num>
  <w:num w:numId="45">
    <w:abstractNumId w:val="1"/>
  </w:num>
  <w:num w:numId="46">
    <w:abstractNumId w:val="4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76"/>
    <w:rsid w:val="00005D24"/>
    <w:rsid w:val="0003430B"/>
    <w:rsid w:val="00074880"/>
    <w:rsid w:val="0008441D"/>
    <w:rsid w:val="00094F15"/>
    <w:rsid w:val="000A2BC8"/>
    <w:rsid w:val="000B0BF3"/>
    <w:rsid w:val="000D5CFB"/>
    <w:rsid w:val="000E00E4"/>
    <w:rsid w:val="000F02A9"/>
    <w:rsid w:val="0012757C"/>
    <w:rsid w:val="001407ED"/>
    <w:rsid w:val="00143EC4"/>
    <w:rsid w:val="0016106E"/>
    <w:rsid w:val="00180B00"/>
    <w:rsid w:val="001A2376"/>
    <w:rsid w:val="001B2B6D"/>
    <w:rsid w:val="001B764F"/>
    <w:rsid w:val="001F00DB"/>
    <w:rsid w:val="00204A0C"/>
    <w:rsid w:val="002103D5"/>
    <w:rsid w:val="00224BF1"/>
    <w:rsid w:val="00243C89"/>
    <w:rsid w:val="00267447"/>
    <w:rsid w:val="00280304"/>
    <w:rsid w:val="00282A6C"/>
    <w:rsid w:val="002B2C22"/>
    <w:rsid w:val="002F22D4"/>
    <w:rsid w:val="0031016B"/>
    <w:rsid w:val="00322509"/>
    <w:rsid w:val="003231C9"/>
    <w:rsid w:val="00344937"/>
    <w:rsid w:val="00346E34"/>
    <w:rsid w:val="00347103"/>
    <w:rsid w:val="00351244"/>
    <w:rsid w:val="0036465A"/>
    <w:rsid w:val="00384524"/>
    <w:rsid w:val="00394A58"/>
    <w:rsid w:val="003A6D40"/>
    <w:rsid w:val="003F6517"/>
    <w:rsid w:val="00412442"/>
    <w:rsid w:val="00413938"/>
    <w:rsid w:val="00447D72"/>
    <w:rsid w:val="00492F7A"/>
    <w:rsid w:val="004A13EF"/>
    <w:rsid w:val="004A1DA6"/>
    <w:rsid w:val="004C7D84"/>
    <w:rsid w:val="004D6968"/>
    <w:rsid w:val="004E07BE"/>
    <w:rsid w:val="004E6AEF"/>
    <w:rsid w:val="004F4A19"/>
    <w:rsid w:val="00500AD7"/>
    <w:rsid w:val="00522CCE"/>
    <w:rsid w:val="00523D4B"/>
    <w:rsid w:val="005354D6"/>
    <w:rsid w:val="00540939"/>
    <w:rsid w:val="005443D7"/>
    <w:rsid w:val="00556F6A"/>
    <w:rsid w:val="00561FA0"/>
    <w:rsid w:val="00584007"/>
    <w:rsid w:val="00593C76"/>
    <w:rsid w:val="00595FD9"/>
    <w:rsid w:val="005A75FD"/>
    <w:rsid w:val="005B56E0"/>
    <w:rsid w:val="005C3E50"/>
    <w:rsid w:val="005F30FC"/>
    <w:rsid w:val="005F3463"/>
    <w:rsid w:val="0060471A"/>
    <w:rsid w:val="00606389"/>
    <w:rsid w:val="00611C61"/>
    <w:rsid w:val="00613A85"/>
    <w:rsid w:val="00625D86"/>
    <w:rsid w:val="00630A80"/>
    <w:rsid w:val="00640DB6"/>
    <w:rsid w:val="00642FA5"/>
    <w:rsid w:val="00661095"/>
    <w:rsid w:val="006647A0"/>
    <w:rsid w:val="00682CBE"/>
    <w:rsid w:val="006954B2"/>
    <w:rsid w:val="006A31F7"/>
    <w:rsid w:val="006A41BD"/>
    <w:rsid w:val="006B3088"/>
    <w:rsid w:val="006D3F88"/>
    <w:rsid w:val="00702334"/>
    <w:rsid w:val="00722C76"/>
    <w:rsid w:val="007337D3"/>
    <w:rsid w:val="00773703"/>
    <w:rsid w:val="0078393C"/>
    <w:rsid w:val="007A7F89"/>
    <w:rsid w:val="007E6D65"/>
    <w:rsid w:val="008009B5"/>
    <w:rsid w:val="008117D1"/>
    <w:rsid w:val="0081565F"/>
    <w:rsid w:val="0081599C"/>
    <w:rsid w:val="00832A0D"/>
    <w:rsid w:val="00833B55"/>
    <w:rsid w:val="00865E51"/>
    <w:rsid w:val="0087520E"/>
    <w:rsid w:val="00893EB8"/>
    <w:rsid w:val="008A186B"/>
    <w:rsid w:val="008A754B"/>
    <w:rsid w:val="008B4A33"/>
    <w:rsid w:val="008B6C95"/>
    <w:rsid w:val="008C3C98"/>
    <w:rsid w:val="00904DDB"/>
    <w:rsid w:val="009055F2"/>
    <w:rsid w:val="0091001A"/>
    <w:rsid w:val="00921A4C"/>
    <w:rsid w:val="00924C2F"/>
    <w:rsid w:val="009318CF"/>
    <w:rsid w:val="00971310"/>
    <w:rsid w:val="0098738B"/>
    <w:rsid w:val="009A3DB0"/>
    <w:rsid w:val="009A4CEF"/>
    <w:rsid w:val="009B7A3F"/>
    <w:rsid w:val="009E6AC0"/>
    <w:rsid w:val="00A17896"/>
    <w:rsid w:val="00A17C32"/>
    <w:rsid w:val="00A27875"/>
    <w:rsid w:val="00A6520F"/>
    <w:rsid w:val="00A7486C"/>
    <w:rsid w:val="00A81D5E"/>
    <w:rsid w:val="00A857BA"/>
    <w:rsid w:val="00A971A9"/>
    <w:rsid w:val="00AA2C6F"/>
    <w:rsid w:val="00AC6831"/>
    <w:rsid w:val="00AE0D80"/>
    <w:rsid w:val="00AF1422"/>
    <w:rsid w:val="00B0196B"/>
    <w:rsid w:val="00B021F5"/>
    <w:rsid w:val="00B043FF"/>
    <w:rsid w:val="00B05CFC"/>
    <w:rsid w:val="00B224E0"/>
    <w:rsid w:val="00B661F7"/>
    <w:rsid w:val="00B90502"/>
    <w:rsid w:val="00BA4456"/>
    <w:rsid w:val="00BD02C3"/>
    <w:rsid w:val="00BF3176"/>
    <w:rsid w:val="00C00B89"/>
    <w:rsid w:val="00C075BD"/>
    <w:rsid w:val="00C22FC0"/>
    <w:rsid w:val="00C24197"/>
    <w:rsid w:val="00C27FB9"/>
    <w:rsid w:val="00C35BEC"/>
    <w:rsid w:val="00CE2603"/>
    <w:rsid w:val="00CF4400"/>
    <w:rsid w:val="00D15A38"/>
    <w:rsid w:val="00D246C9"/>
    <w:rsid w:val="00D30B4C"/>
    <w:rsid w:val="00D63FAB"/>
    <w:rsid w:val="00D6522B"/>
    <w:rsid w:val="00D76CDF"/>
    <w:rsid w:val="00D7729F"/>
    <w:rsid w:val="00DC7EF3"/>
    <w:rsid w:val="00DE1835"/>
    <w:rsid w:val="00DE2371"/>
    <w:rsid w:val="00DE2F85"/>
    <w:rsid w:val="00DF3E86"/>
    <w:rsid w:val="00DF4B42"/>
    <w:rsid w:val="00E116D6"/>
    <w:rsid w:val="00E15612"/>
    <w:rsid w:val="00E26C6E"/>
    <w:rsid w:val="00E91F5D"/>
    <w:rsid w:val="00E9571A"/>
    <w:rsid w:val="00EA31BC"/>
    <w:rsid w:val="00EA416E"/>
    <w:rsid w:val="00EB0908"/>
    <w:rsid w:val="00EB54E1"/>
    <w:rsid w:val="00EC1FAC"/>
    <w:rsid w:val="00ED76DC"/>
    <w:rsid w:val="00EE1B41"/>
    <w:rsid w:val="00EE5C7B"/>
    <w:rsid w:val="00EE60C4"/>
    <w:rsid w:val="00F246BC"/>
    <w:rsid w:val="00F51C8D"/>
    <w:rsid w:val="00F646C3"/>
    <w:rsid w:val="00F6782D"/>
    <w:rsid w:val="00F901F0"/>
    <w:rsid w:val="00F95662"/>
    <w:rsid w:val="00FB686D"/>
    <w:rsid w:val="00FD2C1A"/>
    <w:rsid w:val="00FD5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2506"/>
  <w15:docId w15:val="{4FD6C0ED-A5E5-4D62-87E6-836FB493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A80"/>
  </w:style>
  <w:style w:type="paragraph" w:styleId="Nagwek1">
    <w:name w:val="heading 1"/>
    <w:basedOn w:val="Normalny"/>
    <w:next w:val="Normalny"/>
    <w:link w:val="Nagwek1Znak"/>
    <w:uiPriority w:val="9"/>
    <w:qFormat/>
    <w:rsid w:val="0070233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70233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2C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C76"/>
    <w:rPr>
      <w:rFonts w:ascii="Tahoma" w:hAnsi="Tahoma" w:cs="Tahoma"/>
      <w:sz w:val="16"/>
      <w:szCs w:val="16"/>
    </w:rPr>
  </w:style>
  <w:style w:type="paragraph" w:styleId="Akapitzlist">
    <w:name w:val="List Paragraph"/>
    <w:basedOn w:val="Normalny"/>
    <w:uiPriority w:val="34"/>
    <w:qFormat/>
    <w:rsid w:val="00351244"/>
    <w:pPr>
      <w:ind w:left="720"/>
      <w:contextualSpacing/>
    </w:pPr>
  </w:style>
  <w:style w:type="character" w:styleId="Hipercze">
    <w:name w:val="Hyperlink"/>
    <w:basedOn w:val="Domylnaczcionkaakapitu"/>
    <w:uiPriority w:val="99"/>
    <w:unhideWhenUsed/>
    <w:rsid w:val="00595FD9"/>
    <w:rPr>
      <w:color w:val="0000FF" w:themeColor="hyperlink"/>
      <w:u w:val="single"/>
    </w:rPr>
  </w:style>
  <w:style w:type="paragraph" w:styleId="Tytu">
    <w:name w:val="Title"/>
    <w:basedOn w:val="Normalny"/>
    <w:next w:val="Normalny"/>
    <w:link w:val="TytuZnak"/>
    <w:uiPriority w:val="10"/>
    <w:qFormat/>
    <w:rsid w:val="00347103"/>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347103"/>
    <w:rPr>
      <w:rFonts w:asciiTheme="majorHAnsi" w:eastAsiaTheme="majorEastAsia" w:hAnsiTheme="majorHAnsi" w:cstheme="majorBidi"/>
      <w:spacing w:val="-10"/>
      <w:kern w:val="28"/>
      <w:sz w:val="56"/>
      <w:szCs w:val="56"/>
      <w:lang w:eastAsia="pl-PL"/>
    </w:rPr>
  </w:style>
  <w:style w:type="paragraph" w:styleId="NormalnyWeb">
    <w:name w:val="Normal (Web)"/>
    <w:basedOn w:val="Normalny"/>
    <w:uiPriority w:val="99"/>
    <w:semiHidden/>
    <w:unhideWhenUsed/>
    <w:rsid w:val="00347103"/>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F6782D"/>
    <w:rPr>
      <w:sz w:val="16"/>
      <w:szCs w:val="16"/>
    </w:rPr>
  </w:style>
  <w:style w:type="paragraph" w:styleId="Tekstkomentarza">
    <w:name w:val="annotation text"/>
    <w:basedOn w:val="Normalny"/>
    <w:link w:val="TekstkomentarzaZnak"/>
    <w:uiPriority w:val="99"/>
    <w:semiHidden/>
    <w:unhideWhenUsed/>
    <w:rsid w:val="00F678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782D"/>
    <w:rPr>
      <w:sz w:val="20"/>
      <w:szCs w:val="20"/>
    </w:rPr>
  </w:style>
  <w:style w:type="paragraph" w:styleId="Tematkomentarza">
    <w:name w:val="annotation subject"/>
    <w:basedOn w:val="Tekstkomentarza"/>
    <w:next w:val="Tekstkomentarza"/>
    <w:link w:val="TematkomentarzaZnak"/>
    <w:uiPriority w:val="99"/>
    <w:semiHidden/>
    <w:unhideWhenUsed/>
    <w:rsid w:val="00F6782D"/>
    <w:rPr>
      <w:b/>
      <w:bCs/>
    </w:rPr>
  </w:style>
  <w:style w:type="character" w:customStyle="1" w:styleId="TematkomentarzaZnak">
    <w:name w:val="Temat komentarza Znak"/>
    <w:basedOn w:val="TekstkomentarzaZnak"/>
    <w:link w:val="Tematkomentarza"/>
    <w:uiPriority w:val="99"/>
    <w:semiHidden/>
    <w:rsid w:val="00F6782D"/>
    <w:rPr>
      <w:b/>
      <w:bCs/>
      <w:sz w:val="20"/>
      <w:szCs w:val="20"/>
    </w:rPr>
  </w:style>
  <w:style w:type="character" w:customStyle="1" w:styleId="Nagwek1Znak">
    <w:name w:val="Nagłówek 1 Znak"/>
    <w:basedOn w:val="Domylnaczcionkaakapitu"/>
    <w:link w:val="Nagwek1"/>
    <w:uiPriority w:val="9"/>
    <w:rsid w:val="00702334"/>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702334"/>
    <w:rPr>
      <w:rFonts w:asciiTheme="majorHAnsi" w:eastAsiaTheme="majorEastAsia" w:hAnsiTheme="majorHAnsi" w:cstheme="majorBidi"/>
      <w:color w:val="365F91" w:themeColor="accent1" w:themeShade="BF"/>
      <w:sz w:val="26"/>
      <w:szCs w:val="26"/>
      <w:lang w:eastAsia="pl-PL"/>
    </w:rPr>
  </w:style>
  <w:style w:type="paragraph" w:styleId="Tekstprzypisudolnego">
    <w:name w:val="footnote text"/>
    <w:basedOn w:val="Normalny"/>
    <w:link w:val="TekstprzypisudolnegoZnak"/>
    <w:uiPriority w:val="99"/>
    <w:semiHidden/>
    <w:unhideWhenUsed/>
    <w:rsid w:val="00702334"/>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02334"/>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702334"/>
    <w:rPr>
      <w:vertAlign w:val="superscript"/>
    </w:rPr>
  </w:style>
  <w:style w:type="paragraph" w:styleId="Bezodstpw">
    <w:name w:val="No Spacing"/>
    <w:uiPriority w:val="1"/>
    <w:qFormat/>
    <w:rsid w:val="00702334"/>
    <w:pPr>
      <w:spacing w:after="0" w:line="240" w:lineRule="auto"/>
    </w:pPr>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6647A0"/>
    <w:rPr>
      <w:rFonts w:ascii="Arial" w:hAnsi="Arial" w:cs="Arial" w:hint="default"/>
      <w:b w:val="0"/>
      <w:bCs w:val="0"/>
      <w:i w:val="0"/>
      <w:iCs w:val="0"/>
      <w:color w:val="404040"/>
      <w:sz w:val="28"/>
      <w:szCs w:val="28"/>
    </w:rPr>
  </w:style>
  <w:style w:type="character" w:customStyle="1" w:styleId="fontstyle21">
    <w:name w:val="fontstyle21"/>
    <w:basedOn w:val="Domylnaczcionkaakapitu"/>
    <w:rsid w:val="006647A0"/>
    <w:rPr>
      <w:rFonts w:ascii="Arial" w:hAnsi="Arial" w:cs="Arial" w:hint="default"/>
      <w:b/>
      <w:bCs/>
      <w:i w:val="0"/>
      <w:iCs w:val="0"/>
      <w:color w:val="404040"/>
      <w:sz w:val="28"/>
      <w:szCs w:val="28"/>
    </w:rPr>
  </w:style>
  <w:style w:type="character" w:customStyle="1" w:styleId="fontstyle31">
    <w:name w:val="fontstyle31"/>
    <w:basedOn w:val="Domylnaczcionkaakapitu"/>
    <w:rsid w:val="006647A0"/>
    <w:rPr>
      <w:rFonts w:ascii="Arial" w:hAnsi="Arial" w:cs="Arial" w:hint="default"/>
      <w:b/>
      <w:bCs/>
      <w:i/>
      <w:iCs/>
      <w:color w:val="C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958">
      <w:bodyDiv w:val="1"/>
      <w:marLeft w:val="0"/>
      <w:marRight w:val="0"/>
      <w:marTop w:val="0"/>
      <w:marBottom w:val="0"/>
      <w:divBdr>
        <w:top w:val="none" w:sz="0" w:space="0" w:color="auto"/>
        <w:left w:val="none" w:sz="0" w:space="0" w:color="auto"/>
        <w:bottom w:val="none" w:sz="0" w:space="0" w:color="auto"/>
        <w:right w:val="none" w:sz="0" w:space="0" w:color="auto"/>
      </w:divBdr>
    </w:div>
    <w:div w:id="756906063">
      <w:bodyDiv w:val="1"/>
      <w:marLeft w:val="0"/>
      <w:marRight w:val="0"/>
      <w:marTop w:val="0"/>
      <w:marBottom w:val="0"/>
      <w:divBdr>
        <w:top w:val="none" w:sz="0" w:space="0" w:color="auto"/>
        <w:left w:val="none" w:sz="0" w:space="0" w:color="auto"/>
        <w:bottom w:val="none" w:sz="0" w:space="0" w:color="auto"/>
        <w:right w:val="none" w:sz="0" w:space="0" w:color="auto"/>
      </w:divBdr>
    </w:div>
    <w:div w:id="2007317586">
      <w:bodyDiv w:val="1"/>
      <w:marLeft w:val="0"/>
      <w:marRight w:val="0"/>
      <w:marTop w:val="0"/>
      <w:marBottom w:val="0"/>
      <w:divBdr>
        <w:top w:val="none" w:sz="0" w:space="0" w:color="auto"/>
        <w:left w:val="none" w:sz="0" w:space="0" w:color="auto"/>
        <w:bottom w:val="none" w:sz="0" w:space="0" w:color="auto"/>
        <w:right w:val="none" w:sz="0" w:space="0" w:color="auto"/>
      </w:divBdr>
    </w:div>
    <w:div w:id="20559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mj.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ABBA-3DE6-4C18-B06B-6F0840FA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2515</Words>
  <Characters>15092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Gajewska Małgorzta</cp:lastModifiedBy>
  <cp:revision>3</cp:revision>
  <dcterms:created xsi:type="dcterms:W3CDTF">2019-07-03T12:32:00Z</dcterms:created>
  <dcterms:modified xsi:type="dcterms:W3CDTF">2019-07-04T11:34:00Z</dcterms:modified>
</cp:coreProperties>
</file>